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HealthFirst Care Risk Matrix and Mitigation Plan</w:t>
      </w:r>
    </w:p>
    <w:p>
      <w:r>
        <w:rPr>
          <w:rFonts w:ascii="Segoe UI" w:hAnsi="Segoe UI" w:eastAsia="Segoe UI" w:cs="Segoe UI"/>
          <w:b/>
          <w:i w:val="0"/>
          <w:color w:val="136F78"/>
          <w:sz w:val="21"/>
        </w:rPr>
        <w:t>Capstone Project M05L02</w:t>
      </w:r>
    </w:p>
    <w:p>
      <w:r>
        <w:rPr>
          <w:rFonts w:ascii="Segoe UI" w:hAnsi="Segoe UI" w:eastAsia="Segoe UI" w:cs="Segoe UI"/>
          <w:b w:val="0"/>
          <w:i w:val="0"/>
          <w:color w:val="667085"/>
          <w:sz w:val="18"/>
        </w:rPr>
        <w:t>Adwoa Boama Acheampong  |  IBM Business Analyst learning project</w:t>
      </w:r>
    </w:p>
    <w:p>
      <w:pPr>
        <w:pStyle w:val="Heading1"/>
      </w:pPr>
      <w:r>
        <w:t>Priority and planning basis</w:t>
      </w:r>
    </w:p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R01 and R02 have the maximum initial score of 9. R04, R06 and R07 score 6 and are also High on the 3 × 3 planning matrix. These five high-priority risks require prevention, trigger, owner and contingency; the remaining five are monitored with the same fields. No residual reduction is claimed until controls are tested and owners rescore each risk.</w:t>
      </w:r>
    </w:p>
    <w:p>
      <w:pPr>
        <w:pStyle w:val="Heading1"/>
      </w:pPr>
      <w:r>
        <w:t>Updated 3 × 3 priority matrix</w:t>
      </w:r>
    </w:p>
    <w:p>
      <w:pPr>
        <w:keepNext/>
        <w:keepLines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43600" cy="37490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isk_likelihood_impact_matrix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9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00"/>
        <w:jc w:val="center"/>
      </w:pPr>
      <w:r>
        <w:rPr>
          <w:rFonts w:ascii="Segoe UI" w:hAnsi="Segoe UI" w:eastAsia="Segoe UI" w:cs="Segoe UI"/>
          <w:b w:val="0"/>
          <w:i/>
          <w:color w:val="667085"/>
          <w:sz w:val="16"/>
        </w:rPr>
        <w:t>Initial positions are shared with the risk register. After evidence-based mitigation, owners update likelihood and impact in the workbook; the matrix recalculates from those inputs.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</w:trPr>
        <w:tc>
          <w:tcPr>
            <w:tcW w:type="dxa" w:w="576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3"/>
              </w:rPr>
              <w:t>ID</w:t>
            </w:r>
          </w:p>
        </w:tc>
        <w:tc>
          <w:tcPr>
            <w:tcW w:type="dxa" w:w="2520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3"/>
              </w:rPr>
              <w:t>Preventive action</w:t>
            </w:r>
          </w:p>
        </w:tc>
        <w:tc>
          <w:tcPr>
            <w:tcW w:type="dxa" w:w="1440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3"/>
              </w:rPr>
              <w:t>Owner</w:t>
            </w:r>
          </w:p>
        </w:tc>
        <w:tc>
          <w:tcPr>
            <w:tcW w:type="dxa" w:w="1944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3"/>
              </w:rPr>
              <w:t>Trigger</w:t>
            </w:r>
          </w:p>
        </w:tc>
        <w:tc>
          <w:tcPr>
            <w:tcW w:type="dxa" w:w="2880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3"/>
              </w:rPr>
              <w:t>Contingency</w:t>
            </w:r>
          </w:p>
        </w:tc>
        <w:tc>
          <w:tcPr>
            <w:tcW w:type="dxa" w:w="1152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3"/>
              </w:rPr>
              <w:t>Residual target</w:t>
            </w:r>
          </w:p>
        </w:tc>
        <w:tc>
          <w:tcPr>
            <w:tcW w:type="dxa" w:w="1152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3"/>
              </w:rPr>
              <w:t>Review</w:t>
            </w:r>
          </w:p>
        </w:tc>
      </w:tr>
      <w:tr>
        <w:trPr>
          <w:cantSplit/>
        </w:trP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R01</w:t>
            </w:r>
          </w:p>
        </w:tc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Conflict rules, scenario UAT and daily exception review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Operations manager</w:t>
            </w:r>
          </w:p>
        </w:tc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Double booking or override trend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Pause affected scheduling path; use controlled manual calendar and reconcile later.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Unscored; review after test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Daily during pilot</w:t>
            </w:r>
          </w:p>
        </w:tc>
      </w:tr>
      <w:tr>
        <w:trPr>
          <w:cantSplit/>
        </w:trPr>
        <w:tc>
          <w:tcPr>
            <w:tcW w:type="dxa" w:w="5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R02</w:t>
            </w:r>
          </w:p>
        </w:tc>
        <w:tc>
          <w:tcPr>
            <w:tcW w:type="dxa" w:w="252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Field mapping, reconciliation, retry queue, monitoring and rollback</w:t>
            </w:r>
          </w:p>
        </w:tc>
        <w:tc>
          <w:tcPr>
            <w:tcW w:type="dxa" w:w="144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IT manager</w:t>
            </w:r>
          </w:p>
        </w:tc>
        <w:tc>
          <w:tcPr>
            <w:tcW w:type="dxa" w:w="194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Stale sync or reconciliation variance</w:t>
            </w:r>
          </w:p>
        </w:tc>
        <w:tc>
          <w:tcPr>
            <w:tcW w:type="dxa" w:w="288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Disable failing interface; use validated batch extract and preserve exception log.</w:t>
            </w:r>
          </w:p>
        </w:tc>
        <w:tc>
          <w:tcPr>
            <w:tcW w:type="dxa" w:w="115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Unscored; review after test</w:t>
            </w:r>
          </w:p>
        </w:tc>
        <w:tc>
          <w:tcPr>
            <w:tcW w:type="dxa" w:w="115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Daily during pilot</w:t>
            </w:r>
          </w:p>
        </w:tc>
      </w:tr>
      <w:tr>
        <w:trPr>
          <w:cantSplit/>
        </w:trP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R03</w:t>
            </w:r>
          </w:p>
        </w:tc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Department thresholds, protected capacity and escalation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Clinical operations</w:t>
            </w:r>
          </w:p>
        </w:tc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Wait or utilisation threshold breach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Rebalance slots/resources or invoke approved surge, transfer or reschedule rules.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Unscored; review after test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At each stage gate</w:t>
            </w:r>
          </w:p>
        </w:tc>
      </w:tr>
      <w:tr>
        <w:trPr>
          <w:cantSplit/>
        </w:trPr>
        <w:tc>
          <w:tcPr>
            <w:tcW w:type="dxa" w:w="5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R04</w:t>
            </w:r>
          </w:p>
        </w:tc>
        <w:tc>
          <w:tcPr>
            <w:tcW w:type="dxa" w:w="252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Least privilege, MFA, audit logging, encryption and incident exercises</w:t>
            </w:r>
          </w:p>
        </w:tc>
        <w:tc>
          <w:tcPr>
            <w:tcW w:type="dxa" w:w="144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Security lead</w:t>
            </w:r>
          </w:p>
        </w:tc>
        <w:tc>
          <w:tcPr>
            <w:tcW w:type="dxa" w:w="194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Unauthorized access or delivery exposure</w:t>
            </w:r>
          </w:p>
        </w:tc>
        <w:tc>
          <w:tcPr>
            <w:tcW w:type="dxa" w:w="288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Contain access, preserve evidence and invoke the approved privacy incident process.</w:t>
            </w:r>
          </w:p>
        </w:tc>
        <w:tc>
          <w:tcPr>
            <w:tcW w:type="dxa" w:w="115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Unscored; review after test</w:t>
            </w:r>
          </w:p>
        </w:tc>
        <w:tc>
          <w:tcPr>
            <w:tcW w:type="dxa" w:w="115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Daily during pilot</w:t>
            </w:r>
          </w:p>
        </w:tc>
      </w:tr>
      <w:tr>
        <w:trPr>
          <w:cantSplit/>
        </w:trP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R05</w:t>
            </w:r>
          </w:p>
        </w:tc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Co-design, role training, floor support and usage review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Change lead</w:t>
            </w:r>
          </w:p>
        </w:tc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Bypass or duplicate-entry trend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Remove unsafe parallel process, deploy champions and target retraining.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Unscored; review after test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At each stage gate</w:t>
            </w:r>
          </w:p>
        </w:tc>
      </w:tr>
      <w:tr>
        <w:trPr>
          <w:cantSplit/>
        </w:trPr>
        <w:tc>
          <w:tcPr>
            <w:tcW w:type="dxa" w:w="5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R06</w:t>
            </w:r>
          </w:p>
        </w:tc>
        <w:tc>
          <w:tcPr>
            <w:tcW w:type="dxa" w:w="252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Validation rules, exception queue, ownership and quality scorecard</w:t>
            </w:r>
          </w:p>
        </w:tc>
        <w:tc>
          <w:tcPr>
            <w:tcW w:type="dxa" w:w="144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Data owner</w:t>
            </w:r>
          </w:p>
        </w:tc>
        <w:tc>
          <w:tcPr>
            <w:tcW w:type="dxa" w:w="194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Missing or duplicate keys rise</w:t>
            </w:r>
          </w:p>
        </w:tc>
        <w:tc>
          <w:tcPr>
            <w:tcW w:type="dxa" w:w="288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Qualify affected KPI, quarantine suspect rows and correct the source before decision use.</w:t>
            </w:r>
          </w:p>
        </w:tc>
        <w:tc>
          <w:tcPr>
            <w:tcW w:type="dxa" w:w="115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Unscored; review after test</w:t>
            </w:r>
          </w:p>
        </w:tc>
        <w:tc>
          <w:tcPr>
            <w:tcW w:type="dxa" w:w="115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Daily during pilot</w:t>
            </w:r>
          </w:p>
        </w:tc>
      </w:tr>
      <w:tr>
        <w:trPr>
          <w:cantSplit/>
        </w:trP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R07</w:t>
            </w:r>
          </w:p>
        </w:tc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Downtime procedure, monitoring and reconciliation drills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IT incident lead</w:t>
            </w:r>
          </w:p>
        </w:tc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Connectivity or service outage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Use the approved downtime list and reconcile every record after restoration.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Unscored; review after test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Daily during pilot</w:t>
            </w:r>
          </w:p>
        </w:tc>
      </w:tr>
      <w:tr>
        <w:trPr>
          <w:cantSplit/>
        </w:trPr>
        <w:tc>
          <w:tcPr>
            <w:tcW w:type="dxa" w:w="5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R08</w:t>
            </w:r>
          </w:p>
        </w:tc>
        <w:tc>
          <w:tcPr>
            <w:tcW w:type="dxa" w:w="252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Accessibility review, assisted booking and usability testing</w:t>
            </w:r>
          </w:p>
        </w:tc>
        <w:tc>
          <w:tcPr>
            <w:tcW w:type="dxa" w:w="144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Patient experience lead</w:t>
            </w:r>
          </w:p>
        </w:tc>
        <w:tc>
          <w:tcPr>
            <w:tcW w:type="dxa" w:w="194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Abandonment or support complaints</w:t>
            </w:r>
          </w:p>
        </w:tc>
        <w:tc>
          <w:tcPr>
            <w:tcW w:type="dxa" w:w="288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Switch to assisted booking or check-in and correct inaccessible content.</w:t>
            </w:r>
          </w:p>
        </w:tc>
        <w:tc>
          <w:tcPr>
            <w:tcW w:type="dxa" w:w="115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Unscored; review after test</w:t>
            </w:r>
          </w:p>
        </w:tc>
        <w:tc>
          <w:tcPr>
            <w:tcW w:type="dxa" w:w="115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At each stage gate</w:t>
            </w:r>
          </w:p>
        </w:tc>
      </w:tr>
      <w:tr>
        <w:trPr>
          <w:cantSplit/>
        </w:trP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R09</w:t>
            </w:r>
          </w:p>
        </w:tc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Metric dictionary, denominator review and formal baseline approval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Project sponsor</w:t>
            </w:r>
          </w:p>
        </w:tc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Conflicting dashboard interpretations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Suspend the disputed KPI from decision use until definition and baseline are approved.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Unscored; review after test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At each stage gate</w:t>
            </w:r>
          </w:p>
        </w:tc>
      </w:tr>
      <w:tr>
        <w:trPr>
          <w:cantSplit/>
        </w:trPr>
        <w:tc>
          <w:tcPr>
            <w:tcW w:type="dxa" w:w="5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R10</w:t>
            </w:r>
          </w:p>
        </w:tc>
        <w:tc>
          <w:tcPr>
            <w:tcW w:type="dxa" w:w="252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Scope baseline, change assessment and sponsor decision</w:t>
            </w:r>
          </w:p>
        </w:tc>
        <w:tc>
          <w:tcPr>
            <w:tcW w:type="dxa" w:w="144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Project manager</w:t>
            </w:r>
          </w:p>
        </w:tc>
        <w:tc>
          <w:tcPr>
            <w:tcW w:type="dxa" w:w="194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Unplanned deliverable or dependency</w:t>
            </w:r>
          </w:p>
        </w:tc>
        <w:tc>
          <w:tcPr>
            <w:tcW w:type="dxa" w:w="288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Stop unapproved work and route the change through sponsor review.</w:t>
            </w:r>
          </w:p>
        </w:tc>
        <w:tc>
          <w:tcPr>
            <w:tcW w:type="dxa" w:w="115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Unscored; review after test</w:t>
            </w:r>
          </w:p>
        </w:tc>
        <w:tc>
          <w:tcPr>
            <w:tcW w:type="dxa" w:w="115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3"/>
              </w:rPr>
              <w:t>At each stage gate</w:t>
            </w:r>
          </w:p>
        </w:tc>
      </w:tr>
    </w:tbl>
    <w:p>
      <w:pPr>
        <w:pStyle w:val="Heading1"/>
      </w:pPr>
      <w:r>
        <w:t>Escalation and continuity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2160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5"/>
              </w:rPr>
              <w:t>Event</w:t>
            </w:r>
          </w:p>
        </w:tc>
        <w:tc>
          <w:tcPr>
            <w:tcW w:type="dxa" w:w="2880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5"/>
              </w:rPr>
              <w:t>Immediate action</w:t>
            </w:r>
          </w:p>
        </w:tc>
        <w:tc>
          <w:tcPr>
            <w:tcW w:type="dxa" w:w="3168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5"/>
              </w:rPr>
              <w:t>Continuity method</w:t>
            </w:r>
          </w:p>
        </w:tc>
        <w:tc>
          <w:tcPr>
            <w:tcW w:type="dxa" w:w="1728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5"/>
              </w:rPr>
              <w:t>Decision owner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Scheduling or HIS outage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Declare incident and preserve current queue</w:t>
            </w:r>
          </w:p>
        </w:tc>
        <w:tc>
          <w:tcPr>
            <w:tcW w:type="dxa" w:w="31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Controlled downtime list with reconciliation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IT incident lead</w:t>
            </w:r>
          </w:p>
        </w:tc>
      </w:tr>
      <w:tr>
        <w:trPr>
          <w:cantSplit/>
        </w:trPr>
        <w:tc>
          <w:tcPr>
            <w:tcW w:type="dxa" w:w="216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Incorrect or missing feed</w:t>
            </w:r>
          </w:p>
        </w:tc>
        <w:tc>
          <w:tcPr>
            <w:tcW w:type="dxa" w:w="288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Quarantine affected dashboard data</w:t>
            </w:r>
          </w:p>
        </w:tc>
        <w:tc>
          <w:tcPr>
            <w:tcW w:type="dxa" w:w="316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Show freshness warning and use validated prior extract</w:t>
            </w:r>
          </w:p>
        </w:tc>
        <w:tc>
          <w:tcPr>
            <w:tcW w:type="dxa" w:w="172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Data owner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Notification failure or exposure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Stop repeated sends and assess recipients</w:t>
            </w:r>
          </w:p>
        </w:tc>
        <w:tc>
          <w:tcPr>
            <w:tcW w:type="dxa" w:w="31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Phone high-risk changes using minimum necessary data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Operations and security</w:t>
            </w:r>
          </w:p>
        </w:tc>
      </w:tr>
      <w:tr>
        <w:trPr>
          <w:cantSplit/>
        </w:trPr>
        <w:tc>
          <w:tcPr>
            <w:tcW w:type="dxa" w:w="216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Capacity threshold breach</w:t>
            </w:r>
          </w:p>
        </w:tc>
        <w:tc>
          <w:tcPr>
            <w:tcW w:type="dxa" w:w="288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Escalate and reassess appointments</w:t>
            </w:r>
          </w:p>
        </w:tc>
        <w:tc>
          <w:tcPr>
            <w:tcW w:type="dxa" w:w="316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Approved overflow, transfer or reschedule rule</w:t>
            </w:r>
          </w:p>
        </w:tc>
        <w:tc>
          <w:tcPr>
            <w:tcW w:type="dxa" w:w="172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Clinical lead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Critical security event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Revoke access, contain and preserve evidence</w:t>
            </w:r>
          </w:p>
        </w:tc>
        <w:tc>
          <w:tcPr>
            <w:tcW w:type="dxa" w:w="31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Approved minimum-data manual process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Security lead</w:t>
            </w:r>
          </w:p>
        </w:tc>
      </w:tr>
    </w:tbl>
    <w:p>
      <w:pPr>
        <w:pStyle w:val="Heading1"/>
      </w:pPr>
      <w:r>
        <w:t>Acceptance evidence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Control owner is named and accepts responsibility.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Trigger can be observed from an agreed source.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Preventive control passes its planned test.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Contingency is exercised or walkthrough evidence is retained.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Residual score and any remaining limitation are reviewed by the sponsor.</w:t>
      </w:r>
    </w:p>
    <w:p>
      <w:pPr>
        <w:pStyle w:val="Heading1"/>
      </w:pPr>
      <w:r>
        <w:t>Conclusion</w:t>
      </w:r>
    </w:p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The mitigation plan is complete as a planning artifact. It does not claim that controls have been implemented, tested or accepted. Those statuses remain open in the RTM and risk register until evidence is added.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Segoe UI" w:hAnsi="Segoe UI" w:eastAsia="Segoe UI" w:cs="Segoe UI"/>
        <w:b w:val="0"/>
        <w:i w:val="0"/>
        <w:color w:val="667085"/>
        <w:sz w:val="16"/>
      </w:rPr>
      <w:t xml:space="preserve">Page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Segoe UI" w:hAnsi="Segoe UI" w:eastAsia="Segoe UI" w:cs="Segoe UI"/>
        <w:b w:val="0"/>
        <w:i w:val="0"/>
        <w:color w:val="667085"/>
        <w:sz w:val="16"/>
      </w:rPr>
      <w:t>HealthFirst Care  |  Business Analysis Capstone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59" w:lineRule="auto"/>
    </w:pPr>
    <w:rPr>
      <w:rFonts w:ascii="Segoe UI" w:hAnsi="Segoe UI" w:eastAsia="Segoe UI" w:cs="Segoe UI"/>
      <w:b w:val="0"/>
      <w:color w:val="26374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59" w:lineRule="auto"/>
      <w:outlineLvl w:val="0"/>
    </w:pPr>
    <w:rPr>
      <w:rFonts w:ascii="Segoe UI" w:hAnsi="Segoe UI" w:eastAsia="Segoe UI" w:cs="Segoe UI"/>
      <w:b/>
      <w:bCs/>
      <w:color w:val="17324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 w:line="259" w:lineRule="auto"/>
      <w:outlineLvl w:val="1"/>
    </w:pPr>
    <w:rPr>
      <w:rFonts w:ascii="Segoe UI" w:hAnsi="Segoe UI" w:eastAsia="Segoe UI" w:cs="Segoe UI"/>
      <w:b/>
      <w:bCs/>
      <w:color w:val="17324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 w:line="259" w:lineRule="auto"/>
      <w:outlineLvl w:val="2"/>
    </w:pPr>
    <w:rPr>
      <w:rFonts w:ascii="Segoe UI" w:hAnsi="Segoe UI" w:eastAsia="Segoe UI" w:cs="Segoe UI"/>
      <w:b/>
      <w:bCs/>
      <w:color w:val="17324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59" w:lineRule="auto" w:before="0"/>
      <w:contextualSpacing/>
    </w:pPr>
    <w:rPr>
      <w:rFonts w:ascii="Segoe UI" w:hAnsi="Segoe UI" w:eastAsia="Segoe UI" w:cs="Segoe UI"/>
      <w:b/>
      <w:color w:val="17324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