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HealthFirst Care Excel Dashboard Evidence and Operating Guide</w:t>
      </w:r>
    </w:p>
    <w:p>
      <w:r>
        <w:rPr>
          <w:rFonts w:ascii="Segoe UI" w:hAnsi="Segoe UI" w:eastAsia="Segoe UI" w:cs="Segoe UI"/>
          <w:b/>
          <w:i w:val="0"/>
          <w:color w:val="136F78"/>
          <w:sz w:val="21"/>
        </w:rPr>
        <w:t>Dashboard lab portfolio evidence</w:t>
      </w:r>
    </w:p>
    <w:p>
      <w:r>
        <w:rPr>
          <w:rFonts w:ascii="Segoe UI" w:hAnsi="Segoe UI" w:eastAsia="Segoe UI" w:cs="Segoe UI"/>
          <w:b w:val="0"/>
          <w:i w:val="0"/>
          <w:color w:val="667085"/>
          <w:sz w:val="18"/>
        </w:rPr>
        <w:t>Adwoa Boama Acheampong  |  IBM Business Analyst learning project</w:t>
      </w:r>
    </w:p>
    <w:p>
      <w:pPr>
        <w:pStyle w:val="Heading1"/>
      </w:pPr>
      <w:r>
        <w:t>Decision purpose and reader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dashboard supports hospital operations and leadership review of appointment volume and outcome, patient wait and feedback, resource use and availability. It is implemented locally in Excel. It is not a Cognos or Looker Studio artifact.</w:t>
      </w:r>
    </w:p>
    <w:p>
      <w:pPr>
        <w:pStyle w:val="Heading1"/>
      </w:pPr>
      <w:r>
        <w:t>KPI definitions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72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5"/>
              </w:rPr>
              <w:t>KPI</w:t>
            </w:r>
          </w:p>
        </w:tc>
        <w:tc>
          <w:tcPr>
            <w:tcW w:type="dxa" w:w="3744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5"/>
              </w:rPr>
              <w:t>Definition</w:t>
            </w:r>
          </w:p>
        </w:tc>
        <w:tc>
          <w:tcPr>
            <w:tcW w:type="dxa" w:w="2304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5"/>
              </w:rPr>
              <w:t>Population and unit</w:t>
            </w:r>
          </w:p>
        </w:tc>
        <w:tc>
          <w:tcPr>
            <w:tcW w:type="dxa" w:w="288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5"/>
              </w:rPr>
              <w:t>Missing-data treatment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Appointments</w:t>
            </w:r>
          </w:p>
        </w:tc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Count of appointment rows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Rows; all or selected department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Missing AppointmentID retained but disclosed</w:t>
            </w:r>
          </w:p>
        </w:tc>
      </w:tr>
      <w:tr>
        <w:trPr>
          <w:cantSplit/>
        </w:trPr>
        <w:tc>
          <w:tcPr>
            <w:tcW w:type="dxa" w:w="172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Completion rate</w:t>
            </w:r>
          </w:p>
        </w:tc>
        <w:tc>
          <w:tcPr>
            <w:tcW w:type="dxa" w:w="374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Completed divided by all appointment rows in the selected department or full population</w:t>
            </w:r>
          </w:p>
        </w:tc>
        <w:tc>
          <w:tcPr>
            <w:tcW w:type="dxa" w:w="230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Percent</w:t>
            </w:r>
          </w:p>
        </w:tc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Missing status remains in denominator for headline; PivotTable supports known-status review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No-show rate</w:t>
            </w:r>
          </w:p>
        </w:tc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No Show divided by all appointment rows in the selected department or full population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Percent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Same denominator rule as completion</w:t>
            </w:r>
          </w:p>
        </w:tc>
      </w:tr>
      <w:tr>
        <w:trPr>
          <w:cantSplit/>
        </w:trPr>
        <w:tc>
          <w:tcPr>
            <w:tcW w:type="dxa" w:w="172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Average wait</w:t>
            </w:r>
          </w:p>
        </w:tc>
        <w:tc>
          <w:tcPr>
            <w:tcW w:type="dxa" w:w="374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Mean of nonmissing feedback wait-time values in the selected department or full population</w:t>
            </w:r>
          </w:p>
        </w:tc>
        <w:tc>
          <w:tcPr>
            <w:tcW w:type="dxa" w:w="230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Minutes</w:t>
            </w:r>
          </w:p>
        </w:tc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Three blanks excluded from 198 substantive feedback rows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Average feedback</w:t>
            </w:r>
          </w:p>
        </w:tc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Mean after lab-directed score imputation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1–10 score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Six blank scores use valid-score mean</w:t>
            </w:r>
          </w:p>
        </w:tc>
      </w:tr>
      <w:tr>
        <w:trPr>
          <w:cantSplit/>
        </w:trPr>
        <w:tc>
          <w:tcPr>
            <w:tcW w:type="dxa" w:w="1728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Average resource usage</w:t>
            </w:r>
          </w:p>
        </w:tc>
        <w:tc>
          <w:tcPr>
            <w:tcW w:type="dxa" w:w="374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Mean UsageHours</w:t>
            </w:r>
          </w:p>
        </w:tc>
        <w:tc>
          <w:tcPr>
            <w:tcW w:type="dxa" w:w="230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Hours per resource observation</w:t>
            </w:r>
          </w:p>
        </w:tc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No missing UsageHours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Availability rate</w:t>
            </w:r>
          </w:p>
        </w:tc>
        <w:tc>
          <w:tcPr>
            <w:tcW w:type="dxa" w:w="37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Available observations divided by resource observations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Percent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5"/>
              </w:rPr>
              <w:t>Missing department is unavailable, never zero</w:t>
            </w:r>
          </w:p>
        </w:tc>
      </w:tr>
    </w:tbl>
    <w:p>
      <w:pPr>
        <w:pStyle w:val="Heading1"/>
      </w:pPr>
      <w:r>
        <w:t>Dashboard views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114800" cy="2331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ointments_by_hou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31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Volume view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114800" cy="23317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edback_by_departmen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31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Patient feedback view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114800" cy="23317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ource_usage_by_departmen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31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Resource view</w:t>
      </w:r>
    </w:p>
    <w:p>
      <w:pPr>
        <w:pStyle w:val="Heading1"/>
      </w:pPr>
      <w:r>
        <w:t>Filters refresh and use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Use Dashboard!B2 (All or one department) to update the front-page cards, comparison table and both chart series together. The headline card denominator is all appointment rows in that selection.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Use native slicers on Pivot Appointments for Department and Status, Pivot Satisfaction for Department and Satisfaction Level, and Pivot Resources for Department and Availability. These are separate exploratory views: their slicers do not change the front-page cards.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Replace or append source rows only through the governed source process, rerun the documented cleaning build, then refresh all PivotTables.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Review the Data Quality Log and unmatched records before using dashboard values in a decision.</w:t>
      </w:r>
    </w:p>
    <w:p>
      <w:pPr>
        <w:pStyle w:val="Heading1"/>
      </w:pPr>
      <w:r>
        <w:t>Functional checks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880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5184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Expected result</w:t>
            </w:r>
          </w:p>
        </w:tc>
        <w:tc>
          <w:tcPr>
            <w:tcW w:type="dxa" w:w="1872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Status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Refresh PivotTables</w:t>
            </w:r>
          </w:p>
        </w:tc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Pivot tables remain linked to Excel tables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Passed locally</w:t>
            </w:r>
          </w:p>
        </w:tc>
      </w:tr>
      <w:tr>
        <w:trPr>
          <w:cantSplit/>
        </w:trPr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Front-page department control</w:t>
            </w:r>
          </w:p>
        </w:tc>
        <w:tc>
          <w:tcPr>
            <w:tcW w:type="dxa" w:w="518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All shows 200 appointments; Cardiology shows 38; table and chart series change; reset restores all</w:t>
            </w:r>
          </w:p>
        </w:tc>
        <w:tc>
          <w:tcPr>
            <w:tcW w:type="dxa" w:w="187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Passed locally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Slicer interaction</w:t>
            </w:r>
          </w:p>
        </w:tc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Six native slicers are wired to pivots; their selection changes the corresponding pivot views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Passed locally</w:t>
            </w:r>
          </w:p>
        </w:tc>
      </w:tr>
      <w:tr>
        <w:trPr>
          <w:cantSplit/>
        </w:trPr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Blank versus zero</w:t>
            </w:r>
          </w:p>
        </w:tc>
        <w:tc>
          <w:tcPr>
            <w:tcW w:type="dxa" w:w="518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Three missing wait values remain blank; unmatched KPI shows Unavailable</w:t>
            </w:r>
          </w:p>
        </w:tc>
        <w:tc>
          <w:tcPr>
            <w:tcW w:type="dxa" w:w="187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Passed locally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Repeated feedback</w:t>
            </w:r>
          </w:p>
        </w:tc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Patient summary aggregates by ID, retaining record count; ten patients have repeated substantive feedback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Passed locally</w:t>
            </w:r>
          </w:p>
        </w:tc>
      </w:tr>
      <w:tr>
        <w:trPr>
          <w:cantSplit/>
        </w:trPr>
        <w:tc>
          <w:tcPr>
            <w:tcW w:type="dxa" w:w="288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Source reconciliation</w:t>
            </w:r>
          </w:p>
        </w:tc>
        <w:tc>
          <w:tcPr>
            <w:tcW w:type="dxa" w:w="5184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Clean counts are 200 appointments, 198 feedback and 200 resources; mean feedback is 6.270833</w:t>
            </w:r>
          </w:p>
        </w:tc>
        <w:tc>
          <w:tcPr>
            <w:tcW w:type="dxa" w:w="187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Passed locally</w:t>
            </w:r>
          </w:p>
        </w:tc>
      </w:tr>
    </w:tbl>
    <w:p>
      <w:pPr>
        <w:pStyle w:val="Heading1"/>
      </w:pPr>
      <w:r>
        <w:t>Platform limitation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original Coursera dashboard page could not be retrieved without an authenticated course session. The local Excel implementation satisfies the analytical and portfolio evidence requirement but does not establish platform-specific Cognos or Looker completion.</w:t>
      </w:r>
    </w:p>
    <w:p>
      <w:hyperlink r:id="rId14">
        <w:r>
          <w:rPr>
            <w:color w:val="136F78"/>
            <w:u w:val="single"/>
          </w:rPr>
          <w:t>Open the standalone Excel dashboard workbook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 xml:space="preserve">Page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>HealthFirst Care  |  Business Analysis Capstone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9" w:lineRule="auto"/>
    </w:pPr>
    <w:rPr>
      <w:rFonts w:ascii="Segoe UI" w:hAnsi="Segoe UI" w:eastAsia="Segoe UI" w:cs="Segoe UI"/>
      <w:b w:val="0"/>
      <w:color w:val="2637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59" w:lineRule="auto"/>
      <w:outlineLvl w:val="0"/>
    </w:pPr>
    <w:rPr>
      <w:rFonts w:ascii="Segoe UI" w:hAnsi="Segoe UI" w:eastAsia="Segoe UI" w:cs="Segoe UI"/>
      <w:b/>
      <w:bCs/>
      <w:color w:val="1732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59" w:lineRule="auto"/>
      <w:outlineLvl w:val="1"/>
    </w:pPr>
    <w:rPr>
      <w:rFonts w:ascii="Segoe UI" w:hAnsi="Segoe UI" w:eastAsia="Segoe UI" w:cs="Segoe UI"/>
      <w:b/>
      <w:bCs/>
      <w:color w:val="17324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 w:line="259" w:lineRule="auto"/>
      <w:outlineLvl w:val="2"/>
    </w:pPr>
    <w:rPr>
      <w:rFonts w:ascii="Segoe UI" w:hAnsi="Segoe UI" w:eastAsia="Segoe UI" w:cs="Segoe UI"/>
      <w:b/>
      <w:bCs/>
      <w:color w:val="17324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59" w:lineRule="auto" w:before="0"/>
      <w:contextualSpacing/>
    </w:pPr>
    <w:rPr>
      <w:rFonts w:ascii="Segoe UI" w:hAnsi="Segoe UI" w:eastAsia="Segoe UI" w:cs="Segoe UI"/>
      <w:b/>
      <w:color w:val="1732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Capstone_Project_M04L02_HealthFirst_Dashboard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