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HealthFirst Care Scope Management Plan and Work Breakdown Structure</w:t>
      </w:r>
    </w:p>
    <w:p>
      <w:r>
        <w:rPr>
          <w:rFonts w:ascii="Segoe UI" w:hAnsi="Segoe UI" w:eastAsia="Segoe UI" w:cs="Segoe UI"/>
          <w:b/>
          <w:i w:val="0"/>
          <w:color w:val="136F78"/>
          <w:sz w:val="21"/>
        </w:rPr>
        <w:t>Capstone Project M02L02</w:t>
      </w:r>
    </w:p>
    <w:p>
      <w:r>
        <w:rPr>
          <w:rFonts w:ascii="Segoe UI" w:hAnsi="Segoe UI" w:eastAsia="Segoe UI" w:cs="Segoe UI"/>
          <w:b w:val="0"/>
          <w:i w:val="0"/>
          <w:color w:val="667085"/>
          <w:sz w:val="18"/>
        </w:rPr>
        <w:t>Adwoa Boama Acheampong  |  IBM Business Analyst learning project</w:t>
      </w:r>
    </w:p>
    <w:p>
      <w:pPr>
        <w:pStyle w:val="Heading1"/>
      </w:pPr>
      <w:r>
        <w:t>Scope statement</w:t>
      </w:r>
    </w:p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The project will define and validate a controlled operational pilot for appointment scheduling, patient communication, check-in, handoffs, resource visibility and reporting. The intended outcome is evidence for a scale, revise, pause or rollback decision. The work does not include clinical decision automation or full hospital-platform replacement.</w:t>
      </w:r>
    </w:p>
    <w:p>
      <w:pPr>
        <w:pStyle w:val="Heading1"/>
      </w:pPr>
      <w:r>
        <w:t>Objectives inclusions and exclusions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89"/>
        <w:gridCol w:w="4589"/>
        <w:gridCol w:w="4589"/>
      </w:tblGrid>
      <w:tr>
        <w:trPr>
          <w:tblHeader w:val="true"/>
        </w:trPr>
        <w:tc>
          <w:tcPr>
            <w:tcW w:type="dxa" w:w="1440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Area</w:t>
            </w:r>
          </w:p>
        </w:tc>
        <w:tc>
          <w:tcPr>
            <w:tcW w:type="dxa" w:w="5184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Definition</w:t>
            </w:r>
          </w:p>
        </w:tc>
        <w:tc>
          <w:tcPr>
            <w:tcW w:type="dxa" w:w="3888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Acceptance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Objectives</w:t>
            </w:r>
          </w:p>
        </w:tc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Reduce scheduling conflict and delay, improve communication and make operational status traceable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Sponsor-approved measures and UAT evidence</w:t>
            </w:r>
          </w:p>
        </w:tc>
      </w:tr>
      <w:tr>
        <w:trPr>
          <w:cantSplit/>
        </w:trPr>
        <w:tc>
          <w:tcPr>
            <w:tcW w:type="dxa" w:w="144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Inclusions</w:t>
            </w:r>
          </w:p>
        </w:tc>
        <w:tc>
          <w:tcPr>
            <w:tcW w:type="dxa" w:w="518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Requirements, stakeholder engagement, process models, data analysis, dashboard, risk controls, pilot preparation</w:t>
            </w:r>
          </w:p>
        </w:tc>
        <w:tc>
          <w:tcPr>
            <w:tcW w:type="dxa" w:w="38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Artifacts mapped in the project index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Exclusions</w:t>
            </w:r>
          </w:p>
        </w:tc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Clinical decisions, major construction, permanent staffing, full billing/lab/EMR replacement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Change log confirms no unapproved expansion</w:t>
            </w:r>
          </w:p>
        </w:tc>
      </w:tr>
    </w:tbl>
    <w:p>
      <w:pPr>
        <w:pStyle w:val="Heading1"/>
      </w:pPr>
      <w:r>
        <w:t>Assumptions dependencies and constraints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89"/>
        <w:gridCol w:w="4589"/>
        <w:gridCol w:w="4589"/>
      </w:tblGrid>
      <w:tr>
        <w:trPr>
          <w:tblHeader w:val="true"/>
        </w:trPr>
        <w:tc>
          <w:tcPr>
            <w:tcW w:type="dxa" w:w="1440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Type</w:t>
            </w:r>
          </w:p>
        </w:tc>
        <w:tc>
          <w:tcPr>
            <w:tcW w:type="dxa" w:w="4896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4176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Control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Assumption</w:t>
            </w:r>
          </w:p>
        </w:tc>
        <w:tc>
          <w:tcPr>
            <w:tcW w:type="dxa" w:w="4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Operational owners are available for design and validation</w:t>
            </w:r>
          </w:p>
        </w:tc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Record review attendance and unresolved decisions</w:t>
            </w:r>
          </w:p>
        </w:tc>
      </w:tr>
      <w:tr>
        <w:trPr>
          <w:cantSplit/>
        </w:trPr>
        <w:tc>
          <w:tcPr>
            <w:tcW w:type="dxa" w:w="144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Assumption</w:t>
            </w:r>
          </w:p>
        </w:tc>
        <w:tc>
          <w:tcPr>
            <w:tcW w:type="dxa" w:w="489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Source extracts can be refreshed during a pilot</w:t>
            </w:r>
          </w:p>
        </w:tc>
        <w:tc>
          <w:tcPr>
            <w:tcW w:type="dxa" w:w="41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Define owner, frequency and freshness warning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Dependency</w:t>
            </w:r>
          </w:p>
        </w:tc>
        <w:tc>
          <w:tcPr>
            <w:tcW w:type="dxa" w:w="4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Legacy scheduling, patient-record and notification interfaces</w:t>
            </w:r>
          </w:p>
        </w:tc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Complete mapping and reconciliation before release</w:t>
            </w:r>
          </w:p>
        </w:tc>
      </w:tr>
      <w:tr>
        <w:trPr>
          <w:cantSplit/>
        </w:trPr>
        <w:tc>
          <w:tcPr>
            <w:tcW w:type="dxa" w:w="144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Constraint</w:t>
            </w:r>
          </w:p>
        </w:tc>
        <w:tc>
          <w:tcPr>
            <w:tcW w:type="dxa" w:w="489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Privacy, accessibility and clinical continuity remain mandatory</w:t>
            </w:r>
          </w:p>
        </w:tc>
        <w:tc>
          <w:tcPr>
            <w:tcW w:type="dxa" w:w="41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Treat as release gates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Constraint</w:t>
            </w:r>
          </w:p>
        </w:tc>
        <w:tc>
          <w:tcPr>
            <w:tcW w:type="dxa" w:w="4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No approved budget, dates or staffing plan were supplied</w:t>
            </w:r>
          </w:p>
        </w:tc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Use sequence and role ownership without invented commitments</w:t>
            </w:r>
          </w:p>
        </w:tc>
      </w:tr>
    </w:tbl>
    <w:p>
      <w:pPr>
        <w:pStyle w:val="Heading1"/>
      </w:pPr>
      <w:r>
        <w:t>Deliverables and acceptance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89"/>
        <w:gridCol w:w="4589"/>
        <w:gridCol w:w="4589"/>
      </w:tblGrid>
      <w:tr>
        <w:trPr>
          <w:tblHeader w:val="true"/>
        </w:trPr>
        <w:tc>
          <w:tcPr>
            <w:tcW w:type="dxa" w:w="2880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Deliverable</w:t>
            </w:r>
          </w:p>
        </w:tc>
        <w:tc>
          <w:tcPr>
            <w:tcW w:type="dxa" w:w="4896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Acceptance criterion</w:t>
            </w:r>
          </w:p>
        </w:tc>
        <w:tc>
          <w:tcPr>
            <w:tcW w:type="dxa" w:w="2736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Responsible reviewer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BRD and RTM</w:t>
            </w:r>
          </w:p>
        </w:tc>
        <w:tc>
          <w:tcPr>
            <w:tcW w:type="dxa" w:w="4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Requirements trace to source, objective, planned validation and open status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Sponsor, business analyst and owners</w:t>
            </w:r>
          </w:p>
        </w:tc>
      </w:tr>
      <w:tr>
        <w:trPr>
          <w:cantSplit/>
        </w:trPr>
        <w:tc>
          <w:tcPr>
            <w:tcW w:type="dxa" w:w="288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Stakeholder plan</w:t>
            </w:r>
          </w:p>
        </w:tc>
        <w:tc>
          <w:tcPr>
            <w:tcW w:type="dxa" w:w="489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All supplied profiles represented and engagement routes defined</w:t>
            </w:r>
          </w:p>
        </w:tc>
        <w:tc>
          <w:tcPr>
            <w:tcW w:type="dxa" w:w="273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Project sponsor and functional leads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Process models</w:t>
            </w:r>
          </w:p>
        </w:tc>
        <w:tc>
          <w:tcPr>
            <w:tcW w:type="dxa" w:w="4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As-Is and To-Be flows show decisions, exceptions and ownership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Operational and clinical leads</w:t>
            </w:r>
          </w:p>
        </w:tc>
      </w:tr>
      <w:tr>
        <w:trPr>
          <w:cantSplit/>
        </w:trPr>
        <w:tc>
          <w:tcPr>
            <w:tcW w:type="dxa" w:w="288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Analytical workbook and dashboard</w:t>
            </w:r>
          </w:p>
        </w:tc>
        <w:tc>
          <w:tcPr>
            <w:tcW w:type="dxa" w:w="489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Controls reconcile, pivots refresh and missing data are visible</w:t>
            </w:r>
          </w:p>
        </w:tc>
        <w:tc>
          <w:tcPr>
            <w:tcW w:type="dxa" w:w="273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Data owner and operations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Risk and mitigation plans</w:t>
            </w:r>
          </w:p>
        </w:tc>
        <w:tc>
          <w:tcPr>
            <w:tcW w:type="dxa" w:w="4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High risks have owner, trigger, prevention, contingency and review cadence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Risk owners and sponsor</w:t>
            </w:r>
          </w:p>
        </w:tc>
      </w:tr>
    </w:tbl>
    <w:p>
      <w:pPr>
        <w:pStyle w:val="Heading1"/>
      </w:pPr>
      <w:r>
        <w:t>Hierarchical WBS</w:t>
      </w:r>
    </w:p>
    <w:p>
      <w:pPr>
        <w:keepNext/>
        <w:keepLines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8046720" cy="40233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bs_hierarch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46720" cy="40233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00"/>
        <w:jc w:val="center"/>
      </w:pPr>
      <w:r>
        <w:rPr>
          <w:rFonts w:ascii="Segoe UI" w:hAnsi="Segoe UI" w:eastAsia="Segoe UI" w:cs="Segoe UI"/>
          <w:b w:val="0"/>
          <w:i/>
          <w:color w:val="667085"/>
          <w:sz w:val="16"/>
        </w:rPr>
        <w:t>The pilot root decomposes into seven deliverable branches. The full work-package register follows; each branch also has its own editable diagram.</w:t>
      </w:r>
    </w:p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The seven detailed branch diagrams are supplied in HealthFirst_Editable_Diagrams as wbs_branch_1.svg through wbs_branch_7.svg, with matching PNG previews. Each branch expands its phase into work packages and review milestones.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53"/>
        <w:gridCol w:w="2753"/>
        <w:gridCol w:w="2753"/>
        <w:gridCol w:w="2753"/>
        <w:gridCol w:w="2753"/>
      </w:tblGrid>
      <w:tr>
        <w:trPr>
          <w:tblHeader w:val="true"/>
        </w:trPr>
        <w:tc>
          <w:tcPr>
            <w:tcW w:type="dxa" w:w="792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4"/>
              </w:rPr>
              <w:t>WBS</w:t>
            </w:r>
          </w:p>
        </w:tc>
        <w:tc>
          <w:tcPr>
            <w:tcW w:type="dxa" w:w="3888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4"/>
              </w:rPr>
              <w:t>Work package</w:t>
            </w:r>
          </w:p>
        </w:tc>
        <w:tc>
          <w:tcPr>
            <w:tcW w:type="dxa" w:w="1800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4"/>
              </w:rPr>
              <w:t>Owner</w:t>
            </w:r>
          </w:p>
        </w:tc>
        <w:tc>
          <w:tcPr>
            <w:tcW w:type="dxa" w:w="1800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4"/>
              </w:rPr>
              <w:t>Dependency</w:t>
            </w:r>
          </w:p>
        </w:tc>
        <w:tc>
          <w:tcPr>
            <w:tcW w:type="dxa" w:w="2376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4"/>
              </w:rPr>
              <w:t>Milestone or output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1.0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Initiation and baseline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Project sponsor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—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Project charter and decision rights</w:t>
            </w:r>
          </w:p>
        </w:tc>
      </w:tr>
      <w:tr>
        <w:trPr>
          <w:cantSplit/>
        </w:trPr>
        <w:tc>
          <w:tcPr>
            <w:tcW w:type="dxa" w:w="79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1.1</w:t>
            </w:r>
          </w:p>
        </w:tc>
        <w:tc>
          <w:tcPr>
            <w:tcW w:type="dxa" w:w="38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Confirm problem statement and intended outcomes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Business analyst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1.0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Problem statement reviewed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1.2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Confirm governance, roles and decision routes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Project manager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1.0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Governance baseline</w:t>
            </w:r>
          </w:p>
        </w:tc>
      </w:tr>
      <w:tr>
        <w:trPr>
          <w:cantSplit/>
        </w:trPr>
        <w:tc>
          <w:tcPr>
            <w:tcW w:type="dxa" w:w="79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2.0</w:t>
            </w:r>
          </w:p>
        </w:tc>
        <w:tc>
          <w:tcPr>
            <w:tcW w:type="dxa" w:w="38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Requirements and stakeholders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Business analyst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1.0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Requirements baseline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2.1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Review profiles and operational datasets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Business analyst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1.1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Evidence inventory</w:t>
            </w:r>
          </w:p>
        </w:tc>
      </w:tr>
      <w:tr>
        <w:trPr>
          <w:cantSplit/>
        </w:trPr>
        <w:tc>
          <w:tcPr>
            <w:tcW w:type="dxa" w:w="79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2.2</w:t>
            </w:r>
          </w:p>
        </w:tc>
        <w:tc>
          <w:tcPr>
            <w:tcW w:type="dxa" w:w="38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Document BRD and open questions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Business analyst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2.1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BRD review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2.3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Build and reconcile RTM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Business analyst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2.2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RTM review</w:t>
            </w:r>
          </w:p>
        </w:tc>
      </w:tr>
      <w:tr>
        <w:trPr>
          <w:cantSplit/>
        </w:trPr>
        <w:tc>
          <w:tcPr>
            <w:tcW w:type="dxa" w:w="79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2.4</w:t>
            </w:r>
          </w:p>
        </w:tc>
        <w:tc>
          <w:tcPr>
            <w:tcW w:type="dxa" w:w="38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Complete stakeholder analysis and engagement plan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Business analyst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2.1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Engagement plan review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3.0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Process analysis and design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Business analyst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2.0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Workflow design baseline</w:t>
            </w:r>
          </w:p>
        </w:tc>
      </w:tr>
      <w:tr>
        <w:trPr>
          <w:cantSplit/>
        </w:trPr>
        <w:tc>
          <w:tcPr>
            <w:tcW w:type="dxa" w:w="79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3.1</w:t>
            </w:r>
          </w:p>
        </w:tc>
        <w:tc>
          <w:tcPr>
            <w:tcW w:type="dxa" w:w="38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Model appointment As-Is and To-Be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Business analyst; scheduling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2.3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Workflow review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3.2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Model check-in As-Is and To-Be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Business analyst; front desk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2.3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Workflow review</w:t>
            </w:r>
          </w:p>
        </w:tc>
      </w:tr>
      <w:tr>
        <w:trPr>
          <w:cantSplit/>
        </w:trPr>
        <w:tc>
          <w:tcPr>
            <w:tcW w:type="dxa" w:w="79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3.3</w:t>
            </w:r>
          </w:p>
        </w:tc>
        <w:tc>
          <w:tcPr>
            <w:tcW w:type="dxa" w:w="38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Model interdepartmental communication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Business analyst; IT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2.3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Workflow review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3.4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Build appointment, check-in and discharge swimlanes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Business analyst; clinical leads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3.1–3.3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Role/handoff review</w:t>
            </w:r>
          </w:p>
        </w:tc>
      </w:tr>
      <w:tr>
        <w:trPr>
          <w:cantSplit/>
        </w:trPr>
        <w:tc>
          <w:tcPr>
            <w:tcW w:type="dxa" w:w="79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4.0</w:t>
            </w:r>
          </w:p>
        </w:tc>
        <w:tc>
          <w:tcPr>
            <w:tcW w:type="dxa" w:w="38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Data preparation and analysis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Data analyst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2.1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Analysis baseline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4.1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Preserve and profile raw sources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Data analyst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2.1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Source control totals</w:t>
            </w:r>
          </w:p>
        </w:tc>
      </w:tr>
      <w:tr>
        <w:trPr>
          <w:cantSplit/>
        </w:trPr>
        <w:tc>
          <w:tcPr>
            <w:tcW w:type="dxa" w:w="79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4.2</w:t>
            </w:r>
          </w:p>
        </w:tc>
        <w:tc>
          <w:tcPr>
            <w:tcW w:type="dxa" w:w="38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Clean duplicates, dates, missing values and categories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Data analyst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4.1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Clean datasets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4.3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Validate keys, joins, cardinality and unmatched rows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Data analyst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4.2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Quality log</w:t>
            </w:r>
          </w:p>
        </w:tc>
      </w:tr>
      <w:tr>
        <w:trPr>
          <w:cantSplit/>
        </w:trPr>
        <w:tc>
          <w:tcPr>
            <w:tcW w:type="dxa" w:w="79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4.4</w:t>
            </w:r>
          </w:p>
        </w:tc>
        <w:tc>
          <w:tcPr>
            <w:tcW w:type="dxa" w:w="38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Build patient feedback summary and appointment lookup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Data analyst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4.3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Combined analysis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4.5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Create native PivotTables, charts and slicers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Data analyst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4.4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Analytical workbook</w:t>
            </w:r>
          </w:p>
        </w:tc>
      </w:tr>
      <w:tr>
        <w:trPr>
          <w:cantSplit/>
        </w:trPr>
        <w:tc>
          <w:tcPr>
            <w:tcW w:type="dxa" w:w="79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4.6</w:t>
            </w:r>
          </w:p>
        </w:tc>
        <w:tc>
          <w:tcPr>
            <w:tcW w:type="dxa" w:w="38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Build and validate dashboard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Data analyst; operations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4.5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Dashboard review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5.0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Risk and controls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Business analyst; risk owners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2.0–4.0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Risk baseline</w:t>
            </w:r>
          </w:p>
        </w:tc>
      </w:tr>
      <w:tr>
        <w:trPr>
          <w:cantSplit/>
        </w:trPr>
        <w:tc>
          <w:tcPr>
            <w:tcW w:type="dxa" w:w="79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5.1</w:t>
            </w:r>
          </w:p>
        </w:tc>
        <w:tc>
          <w:tcPr>
            <w:tcW w:type="dxa" w:w="38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Create risk register and SWOT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Business analyst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3.0;4.0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Risk review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5.2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Prioritize risks and define mitigation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Risk owners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5.1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Mitigation review</w:t>
            </w:r>
          </w:p>
        </w:tc>
      </w:tr>
      <w:tr>
        <w:trPr>
          <w:cantSplit/>
        </w:trPr>
        <w:tc>
          <w:tcPr>
            <w:tcW w:type="dxa" w:w="79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5.3</w:t>
            </w:r>
          </w:p>
        </w:tc>
        <w:tc>
          <w:tcPr>
            <w:tcW w:type="dxa" w:w="38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Define contingencies, triggers and monitoring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Risk owners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5.2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Continuity review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6.0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Pilot preparation and validation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Project team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3.0–5.0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Go/no-go evidence</w:t>
            </w:r>
          </w:p>
        </w:tc>
      </w:tr>
      <w:tr>
        <w:trPr>
          <w:cantSplit/>
        </w:trPr>
        <w:tc>
          <w:tcPr>
            <w:tcW w:type="dxa" w:w="79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6.1</w:t>
            </w:r>
          </w:p>
        </w:tc>
        <w:tc>
          <w:tcPr>
            <w:tcW w:type="dxa" w:w="38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Configure pilot workflows and controls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IT; operations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3.0;5.0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Pilot ready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6.2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Prepare role-based training and support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Change lead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6.1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Training ready</w:t>
            </w:r>
          </w:p>
        </w:tc>
      </w:tr>
      <w:tr>
        <w:trPr>
          <w:cantSplit/>
        </w:trPr>
        <w:tc>
          <w:tcPr>
            <w:tcW w:type="dxa" w:w="79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6.3</w:t>
            </w:r>
          </w:p>
        </w:tc>
        <w:tc>
          <w:tcPr>
            <w:tcW w:type="dxa" w:w="38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Execute planned UAT and reconcile RTM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UAT lead; stakeholders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6.1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UAT decision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6.4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Review security, downtime and data-quality gates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IT; security; data owner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6.1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Control decision</w:t>
            </w:r>
          </w:p>
        </w:tc>
      </w:tr>
      <w:tr>
        <w:trPr>
          <w:cantSplit/>
        </w:trPr>
        <w:tc>
          <w:tcPr>
            <w:tcW w:type="dxa" w:w="79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7.0</w:t>
            </w:r>
          </w:p>
        </w:tc>
        <w:tc>
          <w:tcPr>
            <w:tcW w:type="dxa" w:w="38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Operate and review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Operations; sponsor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6.0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Pilot review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7.1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Monitor agreed KPIs, adoption, exceptions and risks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Operations; data owner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6.3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30-day review</w:t>
            </w:r>
          </w:p>
        </w:tc>
      </w:tr>
      <w:tr>
        <w:trPr>
          <w:cantSplit/>
        </w:trPr>
        <w:tc>
          <w:tcPr>
            <w:tcW w:type="dxa" w:w="79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7.2</w:t>
            </w:r>
          </w:p>
        </w:tc>
        <w:tc>
          <w:tcPr>
            <w:tcW w:type="dxa" w:w="388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Decide scale, revise, pause or rollback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Sponsor; governance group</w:t>
            </w:r>
          </w:p>
        </w:tc>
        <w:tc>
          <w:tcPr>
            <w:tcW w:type="dxa" w:w="180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7.1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4"/>
              </w:rPr>
              <w:t>Decision recorded</w:t>
            </w:r>
          </w:p>
        </w:tc>
      </w:tr>
    </w:tbl>
    <w:p>
      <w:hyperlink r:id="rId12">
        <w:r>
          <w:rPr>
            <w:color w:val="136F78"/>
            <w:u w:val="single"/>
          </w:rPr>
          <w:t>Open the standalone, editable WBS register</w:t>
        </w:r>
      </w:hyperlink>
    </w:p>
    <w:p>
      <w:pPr>
        <w:pStyle w:val="Heading1"/>
      </w:pPr>
      <w:r>
        <w:t>Scope validation and change control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Submit a change request with rationale, affected requirements and requested timing.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Assess impact on objective, data, workflow, security, continuity, dependency, effort and risk.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Business analyst recommends approve, reject or defer. Sponsor or delegated governance group decides.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If approved, update the BRD, RTM, WBS, risk register, acceptance evidence and communication plan.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Emergency patient-safety or security changes use expedited governance and receive retrospective review.</w:t>
      </w:r>
    </w:p>
    <w:p>
      <w:pPr>
        <w:pStyle w:val="Heading1"/>
      </w:pPr>
      <w:r>
        <w:t>Monitoring</w:t>
      </w:r>
    </w:p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The project manager tracks WBS outputs and unresolved decisions. The business analyst reconciles scope against the BRD and RTM at each gate. A deliverable is accepted only when the named reviewer records a decision; draft completion is not approval.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Segoe UI" w:hAnsi="Segoe UI" w:eastAsia="Segoe UI" w:cs="Segoe UI"/>
        <w:b w:val="0"/>
        <w:i w:val="0"/>
        <w:color w:val="667085"/>
        <w:sz w:val="16"/>
      </w:rPr>
      <w:t xml:space="preserve">Page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Segoe UI" w:hAnsi="Segoe UI" w:eastAsia="Segoe UI" w:cs="Segoe UI"/>
        <w:b w:val="0"/>
        <w:i w:val="0"/>
        <w:color w:val="667085"/>
        <w:sz w:val="16"/>
      </w:rPr>
      <w:t>HealthFirst Care  |  Business Analysis Capstone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59" w:lineRule="auto"/>
    </w:pPr>
    <w:rPr>
      <w:rFonts w:ascii="Segoe UI" w:hAnsi="Segoe UI" w:eastAsia="Segoe UI" w:cs="Segoe UI"/>
      <w:b w:val="0"/>
      <w:color w:val="26374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59" w:lineRule="auto"/>
      <w:outlineLvl w:val="0"/>
    </w:pPr>
    <w:rPr>
      <w:rFonts w:ascii="Segoe UI" w:hAnsi="Segoe UI" w:eastAsia="Segoe UI" w:cs="Segoe UI"/>
      <w:b/>
      <w:bCs/>
      <w:color w:val="1732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59" w:lineRule="auto"/>
      <w:outlineLvl w:val="1"/>
    </w:pPr>
    <w:rPr>
      <w:rFonts w:ascii="Segoe UI" w:hAnsi="Segoe UI" w:eastAsia="Segoe UI" w:cs="Segoe UI"/>
      <w:b/>
      <w:bCs/>
      <w:color w:val="17324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 w:line="259" w:lineRule="auto"/>
      <w:outlineLvl w:val="2"/>
    </w:pPr>
    <w:rPr>
      <w:rFonts w:ascii="Segoe UI" w:hAnsi="Segoe UI" w:eastAsia="Segoe UI" w:cs="Segoe UI"/>
      <w:b/>
      <w:bCs/>
      <w:color w:val="17324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59" w:lineRule="auto" w:before="0"/>
      <w:contextualSpacing/>
    </w:pPr>
    <w:rPr>
      <w:rFonts w:ascii="Segoe UI" w:hAnsi="Segoe UI" w:eastAsia="Segoe UI" w:cs="Segoe UI"/>
      <w:b/>
      <w:color w:val="17324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Capstone_Project_M02L02_Work_Breakdown_Structure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