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HealthFirst Care Stakeholder Analysis and Engagement Plan</w:t>
      </w:r>
    </w:p>
    <w:p>
      <w:r>
        <w:rPr>
          <w:rFonts w:ascii="Segoe UI" w:hAnsi="Segoe UI" w:eastAsia="Segoe UI" w:cs="Segoe UI"/>
          <w:b/>
          <w:i w:val="0"/>
          <w:color w:val="136F78"/>
          <w:sz w:val="21"/>
        </w:rPr>
        <w:t>Capstone Project M02L01</w:t>
      </w:r>
    </w:p>
    <w:p>
      <w:r>
        <w:rPr>
          <w:rFonts w:ascii="Segoe UI" w:hAnsi="Segoe UI" w:eastAsia="Segoe UI" w:cs="Segoe UI"/>
          <w:b w:val="0"/>
          <w:i w:val="0"/>
          <w:color w:val="667085"/>
          <w:sz w:val="18"/>
        </w:rPr>
        <w:t>Adwoa Boama Acheampong  |  IBM Business Analyst learning project</w:t>
      </w:r>
    </w:p>
    <w:p>
      <w:pPr>
        <w:pStyle w:val="Heading1"/>
      </w:pPr>
      <w:r>
        <w:t>Purpose and method</w:t>
      </w:r>
    </w:p>
    <w:p>
      <w:pPr>
        <w:keepLines w:val="0"/>
      </w:pPr>
      <w:r>
        <w:rPr>
          <w:rFonts w:ascii="Segoe UI" w:hAnsi="Segoe UI" w:eastAsia="Segoe UI" w:cs="Segoe UI"/>
          <w:b w:val="0"/>
          <w:i w:val="0"/>
          <w:color w:val="000000"/>
          <w:sz w:val="20"/>
        </w:rPr>
        <w:t>The analysis uses the ten supplied simulated stakeholder profiles and the case data. Hospital leadership is added as an inferred governance stakeholder because scope, risk and pilot decisions require an accountable sponsor. Influence and interest ratings are planning judgments for review, not interview findings.</w:t>
      </w:r>
    </w:p>
    <w:p>
      <w:pPr>
        <w:pStyle w:val="Heading1"/>
      </w:pPr>
      <w:r>
        <w:t>Stakeholder register</w:t>
      </w:r>
    </w:p>
    <w:tbl>
      <w:tblPr>
        <w:tblStyle w:val="TableGrid"/>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180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Stakeholder</w:t>
            </w:r>
          </w:p>
        </w:tc>
        <w:tc>
          <w:tcPr>
            <w:tcW w:type="dxa" w:w="151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Role</w:t>
            </w:r>
          </w:p>
        </w:tc>
        <w:tc>
          <w:tcPr>
            <w:tcW w:type="dxa" w:w="439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Interests and concerns</w:t>
            </w:r>
          </w:p>
        </w:tc>
        <w:tc>
          <w:tcPr>
            <w:tcW w:type="dxa" w:w="936"/>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Influence</w:t>
            </w:r>
          </w:p>
        </w:tc>
        <w:tc>
          <w:tcPr>
            <w:tcW w:type="dxa" w:w="936"/>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Interest</w:t>
            </w:r>
          </w:p>
        </w:tc>
        <w:tc>
          <w:tcPr>
            <w:tcW w:type="dxa" w:w="151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Strategy</w:t>
            </w:r>
          </w:p>
        </w:tc>
      </w:tr>
      <w:tr>
        <w:trPr>
          <w:cantSplit/>
        </w:trPr>
        <w:tc>
          <w:tcPr>
            <w:tcW w:type="dxa" w:w="180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Sarah Ayvazyan</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Patient</w:t>
            </w:r>
          </w:p>
        </w:tc>
        <w:tc>
          <w:tcPr>
            <w:tcW w:type="dxa" w:w="43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Simple online booking, timely cancellation and delay notices, clear next steps</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Low</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Keep informed</w:t>
            </w:r>
          </w:p>
        </w:tc>
      </w:tr>
      <w:tr>
        <w:trPr>
          <w:cantSplit/>
        </w:trPr>
        <w:tc>
          <w:tcPr>
            <w:tcW w:type="dxa" w:w="180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Lak Ayer</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Patient</w:t>
            </w:r>
          </w:p>
        </w:tc>
        <w:tc>
          <w:tcPr>
            <w:tcW w:type="dxa" w:w="43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Assisted/in-person booking and reachable prescription support</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Low</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Keep informed</w:t>
            </w:r>
          </w:p>
        </w:tc>
      </w:tr>
      <w:tr>
        <w:trPr>
          <w:cantSplit/>
        </w:trPr>
        <w:tc>
          <w:tcPr>
            <w:tcW w:type="dxa" w:w="180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Dr. Aftab Khan</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Cardiologist</w:t>
            </w:r>
          </w:p>
        </w:tc>
        <w:tc>
          <w:tcPr>
            <w:tcW w:type="dxa" w:w="43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Balanced schedules, diagnostic access, timely lab results and transfers</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Manage closely</w:t>
            </w:r>
          </w:p>
        </w:tc>
      </w:tr>
      <w:tr>
        <w:trPr>
          <w:cantSplit/>
        </w:trPr>
        <w:tc>
          <w:tcPr>
            <w:tcW w:type="dxa" w:w="180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Dr. Robert Lee</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Orthopedist</w:t>
            </w:r>
          </w:p>
        </w:tc>
        <w:tc>
          <w:tcPr>
            <w:tcW w:type="dxa" w:w="43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Operating-room and equipment access, referral clarity, physiotherapy updates</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Manage closely</w:t>
            </w:r>
          </w:p>
        </w:tc>
      </w:tr>
      <w:tr>
        <w:trPr>
          <w:cantSplit/>
        </w:trPr>
        <w:tc>
          <w:tcPr>
            <w:tcW w:type="dxa" w:w="180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Santa Murmu</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Pediatric nurse</w:t>
            </w:r>
          </w:p>
        </w:tc>
        <w:tc>
          <w:tcPr>
            <w:tcW w:type="dxa" w:w="43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Shift capacity, supplies and transfer notification</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Manage closely</w:t>
            </w:r>
          </w:p>
        </w:tc>
      </w:tr>
      <w:tr>
        <w:trPr>
          <w:cantSplit/>
        </w:trPr>
        <w:tc>
          <w:tcPr>
            <w:tcW w:type="dxa" w:w="180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Jessica Gomes</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Emergency nurse</w:t>
            </w:r>
          </w:p>
        </w:tc>
        <w:tc>
          <w:tcPr>
            <w:tcW w:type="dxa" w:w="43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Weekend staffing, bed/monitor access, diagnostic results and ICU handoffs</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Manage closely</w:t>
            </w:r>
          </w:p>
        </w:tc>
      </w:tr>
      <w:tr>
        <w:trPr>
          <w:cantSplit/>
        </w:trPr>
        <w:tc>
          <w:tcPr>
            <w:tcW w:type="dxa" w:w="180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Maria Carter</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Appointment scheduler</w:t>
            </w:r>
          </w:p>
        </w:tc>
        <w:tc>
          <w:tcPr>
            <w:tcW w:type="dxa" w:w="43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Conflict prevention, live availability and easier record retrieval</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Manage closely</w:t>
            </w:r>
          </w:p>
        </w:tc>
      </w:tr>
      <w:tr>
        <w:trPr>
          <w:cantSplit/>
        </w:trPr>
        <w:tc>
          <w:tcPr>
            <w:tcW w:type="dxa" w:w="180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Ivan Walker</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Billing administrator</w:t>
            </w:r>
          </w:p>
        </w:tc>
        <w:tc>
          <w:tcPr>
            <w:tcW w:type="dxa" w:w="43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Complete scheduling and treatment data for reconciliation</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Manage closely</w:t>
            </w:r>
          </w:p>
        </w:tc>
      </w:tr>
      <w:tr>
        <w:trPr>
          <w:cantSplit/>
        </w:trPr>
        <w:tc>
          <w:tcPr>
            <w:tcW w:type="dxa" w:w="180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Rajesh Singh</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IT manager</w:t>
            </w:r>
          </w:p>
        </w:tc>
        <w:tc>
          <w:tcPr>
            <w:tcW w:type="dxa" w:w="43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Integrated systems, network resilience and scalable architecture</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Low</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Keep satisfied</w:t>
            </w:r>
          </w:p>
        </w:tc>
      </w:tr>
      <w:tr>
        <w:trPr>
          <w:cantSplit/>
        </w:trPr>
        <w:tc>
          <w:tcPr>
            <w:tcW w:type="dxa" w:w="180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Laura Simkow</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Software developer</w:t>
            </w:r>
          </w:p>
        </w:tc>
        <w:tc>
          <w:tcPr>
            <w:tcW w:type="dxa" w:w="43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Usable interface, security remediation, notifications and analytics</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Low</w:t>
            </w:r>
          </w:p>
        </w:tc>
        <w:tc>
          <w:tcPr>
            <w:tcW w:type="dxa" w:w="151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Keep satisfied</w:t>
            </w:r>
          </w:p>
        </w:tc>
      </w:tr>
      <w:tr>
        <w:trPr>
          <w:cantSplit/>
        </w:trPr>
        <w:tc>
          <w:tcPr>
            <w:tcW w:type="dxa" w:w="180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Hospital leadership</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Inferred governance stakeholder</w:t>
            </w:r>
          </w:p>
        </w:tc>
        <w:tc>
          <w:tcPr>
            <w:tcW w:type="dxa" w:w="43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Service performance, risk, scope and benefit decisions</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High</w:t>
            </w:r>
          </w:p>
        </w:tc>
        <w:tc>
          <w:tcPr>
            <w:tcW w:type="dxa" w:w="151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Manage closely</w:t>
            </w:r>
          </w:p>
        </w:tc>
      </w:tr>
    </w:tbl>
    <w:p>
      <w:pPr>
        <w:pStyle w:val="Heading1"/>
      </w:pPr>
      <w:r>
        <w:t>Influence and interest matrix</w:t>
      </w:r>
    </w:p>
    <w:p>
      <w:pPr>
        <w:keepNext/>
        <w:keepLines/>
        <w:spacing w:after="40"/>
        <w:jc w:val="center"/>
      </w:pPr>
      <w:r>
        <w:drawing>
          <wp:inline xmlns:a="http://schemas.openxmlformats.org/drawingml/2006/main" xmlns:pic="http://schemas.openxmlformats.org/drawingml/2006/picture">
            <wp:extent cx="6035040" cy="4310743"/>
            <wp:docPr id="1" name="Picture 1"/>
            <wp:cNvGraphicFramePr>
              <a:graphicFrameLocks noChangeAspect="1"/>
            </wp:cNvGraphicFramePr>
            <a:graphic>
              <a:graphicData uri="http://schemas.openxmlformats.org/drawingml/2006/picture">
                <pic:pic>
                  <pic:nvPicPr>
                    <pic:cNvPr id="0" name="stakeholder_influence_interest_matrix.png"/>
                    <pic:cNvPicPr/>
                  </pic:nvPicPr>
                  <pic:blipFill>
                    <a:blip r:embed="rId11"/>
                    <a:stretch>
                      <a:fillRect/>
                    </a:stretch>
                  </pic:blipFill>
                  <pic:spPr>
                    <a:xfrm>
                      <a:off x="0" y="0"/>
                      <a:ext cx="6035040" cy="4310743"/>
                    </a:xfrm>
                    <a:prstGeom prst="rect"/>
                  </pic:spPr>
                </pic:pic>
              </a:graphicData>
            </a:graphic>
          </wp:inline>
        </w:drawing>
      </w:r>
    </w:p>
    <w:p>
      <w:pPr>
        <w:keepLines/>
        <w:spacing w:after="100"/>
        <w:jc w:val="center"/>
      </w:pPr>
      <w:r>
        <w:rPr>
          <w:rFonts w:ascii="Segoe UI" w:hAnsi="Segoe UI" w:eastAsia="Segoe UI" w:cs="Segoe UI"/>
          <w:b w:val="0"/>
          <w:i/>
          <w:color w:val="667085"/>
          <w:sz w:val="16"/>
        </w:rPr>
        <w:t>Planning matrix based on supplied profiles. Individual patient influence is low while interest is high; clinical, administrative and leadership stakeholders require close management.</w:t>
      </w:r>
    </w:p>
    <w:p>
      <w:hyperlink r:id="rId12">
        <w:r>
          <w:rPr>
            <w:color w:val="136F78"/>
            <w:u w:val="single"/>
          </w:rPr>
          <w:t>Open the standalone stakeholder matrix</w:t>
        </w:r>
      </w:hyperlink>
    </w:p>
    <w:p>
      <w:pPr>
        <w:pStyle w:val="Heading1"/>
      </w:pPr>
      <w:r>
        <w:t>Engagement and communication plan</w:t>
      </w:r>
    </w:p>
    <w:tbl>
      <w:tblPr>
        <w:tblStyle w:val="TableGrid"/>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144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Group</w:t>
            </w:r>
          </w:p>
        </w:tc>
        <w:tc>
          <w:tcPr>
            <w:tcW w:type="dxa" w:w="223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Purpose</w:t>
            </w:r>
          </w:p>
        </w:tc>
        <w:tc>
          <w:tcPr>
            <w:tcW w:type="dxa" w:w="2304"/>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Method</w:t>
            </w:r>
          </w:p>
        </w:tc>
        <w:tc>
          <w:tcPr>
            <w:tcW w:type="dxa" w:w="144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Frequency</w:t>
            </w:r>
          </w:p>
        </w:tc>
        <w:tc>
          <w:tcPr>
            <w:tcW w:type="dxa" w:w="144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Owner</w:t>
            </w:r>
          </w:p>
        </w:tc>
        <w:tc>
          <w:tcPr>
            <w:tcW w:type="dxa" w:w="252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Escalation</w:t>
            </w:r>
          </w:p>
        </w:tc>
      </w:tr>
      <w:tr>
        <w:trPr>
          <w:cantSplit/>
        </w:trP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Patients</w:t>
            </w:r>
          </w:p>
        </w:tc>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Validate access, notices and next-step clarity</w:t>
            </w:r>
          </w:p>
        </w:tc>
        <w:tc>
          <w:tcPr>
            <w:tcW w:type="dxa" w:w="230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Assisted interviews, usability sessions, accessible SMS/email survey</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At discovery, prototype and pilot review</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Patient experience lead</w:t>
            </w:r>
          </w:p>
        </w:tc>
        <w:tc>
          <w:tcPr>
            <w:tcW w:type="dxa" w:w="252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Escalate accessibility or consent concern to sponsor and privacy lead</w:t>
            </w:r>
          </w:p>
        </w:tc>
      </w:tr>
      <w:tr>
        <w:trPr>
          <w:cantSplit/>
        </w:trPr>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Doctors and nurses</w:t>
            </w:r>
          </w:p>
        </w:tc>
        <w:tc>
          <w:tcPr>
            <w:tcW w:type="dxa" w:w="22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Validate capacity rules, handoffs and patient-safety exceptions</w:t>
            </w:r>
          </w:p>
        </w:tc>
        <w:tc>
          <w:tcPr>
            <w:tcW w:type="dxa" w:w="230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Workflow workshop, clinical huddle and scenario review</w:t>
            </w:r>
          </w:p>
        </w:tc>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Weekly during design and pilot</w:t>
            </w:r>
          </w:p>
        </w:tc>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Clinical lead</w:t>
            </w:r>
          </w:p>
        </w:tc>
        <w:tc>
          <w:tcPr>
            <w:tcW w:type="dxa" w:w="252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Escalate patient-safety or unresolved ownership conflict</w:t>
            </w:r>
          </w:p>
        </w:tc>
      </w:tr>
      <w:tr>
        <w:trPr>
          <w:cantSplit/>
        </w:trP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Administrative staff</w:t>
            </w:r>
          </w:p>
        </w:tc>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Validate booking, check-in, billing data and exception handling</w:t>
            </w:r>
          </w:p>
        </w:tc>
        <w:tc>
          <w:tcPr>
            <w:tcW w:type="dxa" w:w="230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Walkthrough, working session and UAT</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Twice weekly during configuration and UAT</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Operations manager</w:t>
            </w:r>
          </w:p>
        </w:tc>
        <w:tc>
          <w:tcPr>
            <w:tcW w:type="dxa" w:w="252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Escalate repeated conflicts, missing data or reconciliation failure</w:t>
            </w:r>
          </w:p>
        </w:tc>
      </w:tr>
      <w:tr>
        <w:trPr>
          <w:cantSplit/>
        </w:trPr>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IT team</w:t>
            </w:r>
          </w:p>
        </w:tc>
        <w:tc>
          <w:tcPr>
            <w:tcW w:type="dxa" w:w="22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Validate integration, resilience, security and support model</w:t>
            </w:r>
          </w:p>
        </w:tc>
        <w:tc>
          <w:tcPr>
            <w:tcW w:type="dxa" w:w="230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Architecture review, technical backlog and incident rehearsal</w:t>
            </w:r>
          </w:p>
        </w:tc>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Weekly; immediate for release gates</w:t>
            </w:r>
          </w:p>
        </w:tc>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IT manager</w:t>
            </w:r>
          </w:p>
        </w:tc>
        <w:tc>
          <w:tcPr>
            <w:tcW w:type="dxa" w:w="252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Escalate security, outage or interface control failure</w:t>
            </w:r>
          </w:p>
        </w:tc>
      </w:tr>
      <w:tr>
        <w:trPr>
          <w:cantSplit/>
        </w:trP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Hospital leadership</w:t>
            </w:r>
          </w:p>
        </w:tc>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Decide scope, targets, risk acceptance and scale</w:t>
            </w:r>
          </w:p>
        </w:tc>
        <w:tc>
          <w:tcPr>
            <w:tcW w:type="dxa" w:w="230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Decision brief, dashboard and risk review</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Biweekly and at stage gates</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Project sponsor</w:t>
            </w:r>
          </w:p>
        </w:tc>
        <w:tc>
          <w:tcPr>
            <w:tcW w:type="dxa" w:w="252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Record approve, reject, defer or request evidence</w:t>
            </w:r>
          </w:p>
        </w:tc>
      </w:tr>
    </w:tbl>
    <w:p>
      <w:pPr>
        <w:pStyle w:val="Heading1"/>
      </w:pPr>
      <w:r>
        <w:t>Conflicting needs and engagement risks</w:t>
      </w:r>
    </w:p>
    <w:p>
      <w:pPr>
        <w:pStyle w:val="ListBullet"/>
        <w:spacing w:after="40"/>
      </w:pPr>
      <w:r>
        <w:rPr>
          <w:rFonts w:ascii="Segoe UI" w:hAnsi="Segoe UI" w:eastAsia="Segoe UI" w:cs="Segoe UI"/>
          <w:b w:val="0"/>
          <w:i w:val="0"/>
          <w:color w:val="000000"/>
          <w:sz w:val="20"/>
        </w:rPr>
        <w:t>Patients need simple access while security teams require identity and privacy controls. Design must retain assisted channels and proportional authentication.</w:t>
      </w:r>
    </w:p>
    <w:p>
      <w:pPr>
        <w:pStyle w:val="ListBullet"/>
        <w:spacing w:after="40"/>
      </w:pPr>
      <w:r>
        <w:rPr>
          <w:rFonts w:ascii="Segoe UI" w:hAnsi="Segoe UI" w:eastAsia="Segoe UI" w:cs="Segoe UI"/>
          <w:b w:val="0"/>
          <w:i w:val="0"/>
          <w:color w:val="000000"/>
          <w:sz w:val="20"/>
        </w:rPr>
        <w:t>Clinical staff need schedule flexibility while operations need predictable capacity. Exceptions require named approval and auditability.</w:t>
      </w:r>
    </w:p>
    <w:p>
      <w:pPr>
        <w:pStyle w:val="ListBullet"/>
        <w:spacing w:after="40"/>
      </w:pPr>
      <w:r>
        <w:rPr>
          <w:rFonts w:ascii="Segoe UI" w:hAnsi="Segoe UI" w:eastAsia="Segoe UI" w:cs="Segoe UI"/>
          <w:b w:val="0"/>
          <w:i w:val="0"/>
          <w:color w:val="000000"/>
          <w:sz w:val="20"/>
        </w:rPr>
        <w:t>IT may prefer phased integration while users want immediate end-to-end visibility. The RTM should distinguish pilot capability from later integration.</w:t>
      </w:r>
    </w:p>
    <w:p>
      <w:pPr>
        <w:pStyle w:val="ListBullet"/>
        <w:spacing w:after="40"/>
      </w:pPr>
      <w:r>
        <w:rPr>
          <w:rFonts w:ascii="Segoe UI" w:hAnsi="Segoe UI" w:eastAsia="Segoe UI" w:cs="Segoe UI"/>
          <w:b w:val="0"/>
          <w:i w:val="0"/>
          <w:color w:val="000000"/>
          <w:sz w:val="20"/>
        </w:rPr>
        <w:t>Leadership needs concise measures while data owners need visible quality caveats. Dashboard summaries must preserve denominator and freshness definitions.</w:t>
      </w:r>
    </w:p>
    <w:p>
      <w:pPr>
        <w:pStyle w:val="Heading1"/>
      </w:pPr>
      <w:r>
        <w:t>Feedback and decision control</w:t>
      </w:r>
    </w:p>
    <w:p>
      <w:pPr>
        <w:keepLines w:val="0"/>
      </w:pPr>
      <w:r>
        <w:rPr>
          <w:rFonts w:ascii="Segoe UI" w:hAnsi="Segoe UI" w:eastAsia="Segoe UI" w:cs="Segoe UI"/>
          <w:b w:val="0"/>
          <w:i w:val="0"/>
          <w:color w:val="000000"/>
          <w:sz w:val="20"/>
        </w:rPr>
        <w:t>Every engagement records decisions, actions, owner, due point and unresolved question. Changes affecting requirements are added to the RTM. Changes affecting baseline scope follow the scope-control process. Patient-safety, security and privacy concerns bypass routine cadence and move directly to the accountable lead.</w:t>
      </w:r>
    </w:p>
    <w:p>
      <w:pPr>
        <w:pStyle w:val="Heading1"/>
      </w:pPr>
      <w:r>
        <w:t>Conclusion</w:t>
      </w:r>
    </w:p>
    <w:p>
      <w:pPr>
        <w:keepLines w:val="0"/>
      </w:pPr>
      <w:r>
        <w:rPr>
          <w:rFonts w:ascii="Segoe UI" w:hAnsi="Segoe UI" w:eastAsia="Segoe UI" w:cs="Segoe UI"/>
          <w:b w:val="0"/>
          <w:i w:val="0"/>
          <w:color w:val="000000"/>
          <w:sz w:val="20"/>
        </w:rPr>
        <w:t>The engagement plan gives the strongest participation to the groups who operate or govern the workflows while maintaining accessible patient feedback. It supports the BRD objectives by connecting each stakeholder concern to a requirement, workflow decision or control.</w:t>
      </w:r>
    </w:p>
    <w:p>
      <w:pPr>
        <w:pStyle w:val="Heading1"/>
      </w:pPr>
      <w:r>
        <w:t>Appendix A: supplied profile digest</w:t>
      </w:r>
    </w:p>
    <w:p>
      <w:pPr>
        <w:keepLines w:val="0"/>
      </w:pPr>
      <w:r>
        <w:rPr>
          <w:rFonts w:ascii="Segoe UI" w:hAnsi="Segoe UI" w:eastAsia="Segoe UI" w:cs="Segoe UI"/>
          <w:b w:val="0"/>
          <w:i w:val="0"/>
          <w:color w:val="000000"/>
          <w:sz w:val="20"/>
        </w:rPr>
        <w:t>The ten named profiles below are condensed from the supplied course document; hospital leadership is an inferred governance stakeholder and is not in that source. The unmodified three-page source is appended to the PDF export as Appendix C.</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216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Named profile</w:t>
            </w:r>
          </w:p>
        </w:tc>
        <w:tc>
          <w:tcPr>
            <w:tcW w:type="dxa" w:w="1728"/>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Role</w:t>
            </w:r>
          </w:p>
        </w:tc>
        <w:tc>
          <w:tcPr>
            <w:tcW w:type="dxa" w:w="6048"/>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Need captured for the plan</w:t>
            </w:r>
          </w:p>
        </w:tc>
      </w:tr>
      <w:tr>
        <w:trPr>
          <w:cantSplit/>
        </w:trP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Sarah Ayvazyan</w:t>
            </w:r>
          </w:p>
        </w:tc>
        <w:tc>
          <w:tcPr>
            <w:tcW w:type="dxa" w:w="17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Patient</w:t>
            </w:r>
          </w:p>
        </w:tc>
        <w:tc>
          <w:tcPr>
            <w:tcW w:type="dxa" w:w="604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Simple online booking, timely cancellation and delay notices, clear next steps</w:t>
            </w:r>
          </w:p>
        </w:tc>
      </w:tr>
      <w:tr>
        <w:trPr>
          <w:cantSplit/>
        </w:trPr>
        <w:tc>
          <w:tcPr>
            <w:tcW w:type="dxa" w:w="216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Lak Ayer</w:t>
            </w:r>
          </w:p>
        </w:tc>
        <w:tc>
          <w:tcPr>
            <w:tcW w:type="dxa" w:w="17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Patient</w:t>
            </w:r>
          </w:p>
        </w:tc>
        <w:tc>
          <w:tcPr>
            <w:tcW w:type="dxa" w:w="604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Assisted/in-person booking and reachable prescription support</w:t>
            </w:r>
          </w:p>
        </w:tc>
      </w:tr>
      <w:tr>
        <w:trPr>
          <w:cantSplit/>
        </w:trP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Dr. Aftab Khan</w:t>
            </w:r>
          </w:p>
        </w:tc>
        <w:tc>
          <w:tcPr>
            <w:tcW w:type="dxa" w:w="17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Cardiologist</w:t>
            </w:r>
          </w:p>
        </w:tc>
        <w:tc>
          <w:tcPr>
            <w:tcW w:type="dxa" w:w="604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Balanced schedules, diagnostic access, timely lab results and transfers</w:t>
            </w:r>
          </w:p>
        </w:tc>
      </w:tr>
      <w:tr>
        <w:trPr>
          <w:cantSplit/>
        </w:trPr>
        <w:tc>
          <w:tcPr>
            <w:tcW w:type="dxa" w:w="216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Dr. Robert Lee</w:t>
            </w:r>
          </w:p>
        </w:tc>
        <w:tc>
          <w:tcPr>
            <w:tcW w:type="dxa" w:w="17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Orthopedist</w:t>
            </w:r>
          </w:p>
        </w:tc>
        <w:tc>
          <w:tcPr>
            <w:tcW w:type="dxa" w:w="604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Operating-room and equipment access, referral clarity, physiotherapy updates</w:t>
            </w:r>
          </w:p>
        </w:tc>
      </w:tr>
      <w:tr>
        <w:trPr>
          <w:cantSplit/>
        </w:trP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Santa Murmu</w:t>
            </w:r>
          </w:p>
        </w:tc>
        <w:tc>
          <w:tcPr>
            <w:tcW w:type="dxa" w:w="17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Pediatric nurse</w:t>
            </w:r>
          </w:p>
        </w:tc>
        <w:tc>
          <w:tcPr>
            <w:tcW w:type="dxa" w:w="604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Shift capacity, supplies and transfer notification</w:t>
            </w:r>
          </w:p>
        </w:tc>
      </w:tr>
      <w:tr>
        <w:trPr>
          <w:cantSplit/>
        </w:trPr>
        <w:tc>
          <w:tcPr>
            <w:tcW w:type="dxa" w:w="216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Jessica Gomes</w:t>
            </w:r>
          </w:p>
        </w:tc>
        <w:tc>
          <w:tcPr>
            <w:tcW w:type="dxa" w:w="17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Emergency nurse</w:t>
            </w:r>
          </w:p>
        </w:tc>
        <w:tc>
          <w:tcPr>
            <w:tcW w:type="dxa" w:w="604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Weekend staffing, bed/monitor access, diagnostic results and ICU handoffs</w:t>
            </w:r>
          </w:p>
        </w:tc>
      </w:tr>
      <w:tr>
        <w:trPr>
          <w:cantSplit/>
        </w:trP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Maria Carter</w:t>
            </w:r>
          </w:p>
        </w:tc>
        <w:tc>
          <w:tcPr>
            <w:tcW w:type="dxa" w:w="17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Appointment scheduler</w:t>
            </w:r>
          </w:p>
        </w:tc>
        <w:tc>
          <w:tcPr>
            <w:tcW w:type="dxa" w:w="604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Conflict prevention, live availability and easier record retrieval</w:t>
            </w:r>
          </w:p>
        </w:tc>
      </w:tr>
      <w:tr>
        <w:trPr>
          <w:cantSplit/>
        </w:trPr>
        <w:tc>
          <w:tcPr>
            <w:tcW w:type="dxa" w:w="216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Ivan Walker</w:t>
            </w:r>
          </w:p>
        </w:tc>
        <w:tc>
          <w:tcPr>
            <w:tcW w:type="dxa" w:w="17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Billing administrator</w:t>
            </w:r>
          </w:p>
        </w:tc>
        <w:tc>
          <w:tcPr>
            <w:tcW w:type="dxa" w:w="604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Complete scheduling and treatment data for reconciliation</w:t>
            </w:r>
          </w:p>
        </w:tc>
      </w:tr>
      <w:tr>
        <w:trPr>
          <w:cantSplit/>
        </w:trP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Rajesh Singh</w:t>
            </w:r>
          </w:p>
        </w:tc>
        <w:tc>
          <w:tcPr>
            <w:tcW w:type="dxa" w:w="17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IT manager</w:t>
            </w:r>
          </w:p>
        </w:tc>
        <w:tc>
          <w:tcPr>
            <w:tcW w:type="dxa" w:w="604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Integrated systems, network resilience and scalable architecture</w:t>
            </w:r>
          </w:p>
        </w:tc>
      </w:tr>
      <w:tr>
        <w:trPr>
          <w:cantSplit/>
        </w:trPr>
        <w:tc>
          <w:tcPr>
            <w:tcW w:type="dxa" w:w="216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Laura Simkow</w:t>
            </w:r>
          </w:p>
        </w:tc>
        <w:tc>
          <w:tcPr>
            <w:tcW w:type="dxa" w:w="17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Software developer</w:t>
            </w:r>
          </w:p>
        </w:tc>
        <w:tc>
          <w:tcPr>
            <w:tcW w:type="dxa" w:w="604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Usable interface, security remediation, notifications and analytics</w:t>
            </w:r>
          </w:p>
        </w:tc>
      </w:tr>
    </w:tbl>
    <w:p>
      <w:pPr>
        <w:pStyle w:val="Heading1"/>
      </w:pPr>
      <w:r>
        <w:t>Appendix B: matrix record</w:t>
      </w:r>
    </w:p>
    <w:p>
      <w:pPr>
        <w:keepNext/>
        <w:keepLines/>
        <w:spacing w:after="40"/>
        <w:jc w:val="center"/>
      </w:pPr>
      <w:r>
        <w:drawing>
          <wp:inline xmlns:a="http://schemas.openxmlformats.org/drawingml/2006/main" xmlns:pic="http://schemas.openxmlformats.org/drawingml/2006/picture">
            <wp:extent cx="6035040" cy="4310743"/>
            <wp:docPr id="2" name="Picture 2"/>
            <wp:cNvGraphicFramePr>
              <a:graphicFrameLocks noChangeAspect="1"/>
            </wp:cNvGraphicFramePr>
            <a:graphic>
              <a:graphicData uri="http://schemas.openxmlformats.org/drawingml/2006/picture">
                <pic:pic>
                  <pic:nvPicPr>
                    <pic:cNvPr id="0" name="stakeholder_influence_interest_matrix.png"/>
                    <pic:cNvPicPr/>
                  </pic:nvPicPr>
                  <pic:blipFill>
                    <a:blip r:embed="rId11"/>
                    <a:stretch>
                      <a:fillRect/>
                    </a:stretch>
                  </pic:blipFill>
                  <pic:spPr>
                    <a:xfrm>
                      <a:off x="0" y="0"/>
                      <a:ext cx="6035040" cy="4310743"/>
                    </a:xfrm>
                    <a:prstGeom prst="rect"/>
                  </pic:spPr>
                </pic:pic>
              </a:graphicData>
            </a:graphic>
          </wp:inline>
        </w:drawing>
      </w:r>
    </w:p>
    <w:p>
      <w:pPr>
        <w:keepLines/>
        <w:spacing w:after="100"/>
        <w:jc w:val="center"/>
      </w:pPr>
      <w:r>
        <w:rPr>
          <w:rFonts w:ascii="Segoe UI" w:hAnsi="Segoe UI" w:eastAsia="Segoe UI" w:cs="Segoe UI"/>
          <w:b w:val="0"/>
          <w:i/>
          <w:color w:val="667085"/>
          <w:sz w:val="16"/>
        </w:rPr>
        <w:t>Matrix reproduced for review; editable positions and strategies are recorded in the linked workbook.</w:t>
      </w:r>
    </w:p>
    <w:p>
      <w:pPr>
        <w:pStyle w:val="Heading1"/>
      </w:pPr>
      <w:r>
        <w:t>Appendix C: original profile source</w:t>
      </w:r>
    </w:p>
    <w:p>
      <w:pPr>
        <w:keepLines w:val="0"/>
      </w:pPr>
      <w:r>
        <w:rPr>
          <w:rFonts w:ascii="Segoe UI" w:hAnsi="Segoe UI" w:eastAsia="Segoe UI" w:cs="Segoe UI"/>
          <w:b w:val="0"/>
          <w:i w:val="0"/>
          <w:color w:val="000000"/>
          <w:sz w:val="20"/>
        </w:rPr>
        <w:t>The complete source PDF follows this report in the PDF edition. It is kept intact, allowing the reader to compare the stakeholder plan against the course profiles.</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Segoe UI" w:hAnsi="Segoe UI" w:eastAsia="Segoe UI" w:cs="Segoe UI"/>
        <w:b w:val="0"/>
        <w:i w:val="0"/>
        <w:color w:val="667085"/>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Segoe UI" w:hAnsi="Segoe UI" w:eastAsia="Segoe UI" w:cs="Segoe UI"/>
        <w:b w:val="0"/>
        <w:i w:val="0"/>
        <w:color w:val="667085"/>
        <w:sz w:val="16"/>
      </w:rPr>
      <w:t>HealthFirst Care  |  Business Analysis Capstone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59" w:lineRule="auto"/>
    </w:pPr>
    <w:rPr>
      <w:rFonts w:ascii="Segoe UI" w:hAnsi="Segoe UI" w:eastAsia="Segoe UI" w:cs="Segoe UI"/>
      <w:b w:val="0"/>
      <w:color w:val="26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9" w:lineRule="auto"/>
      <w:outlineLvl w:val="0"/>
    </w:pPr>
    <w:rPr>
      <w:rFonts w:ascii="Segoe UI" w:hAnsi="Segoe UI" w:eastAsia="Segoe UI" w:cs="Segoe UI"/>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80" w:line="259" w:lineRule="auto"/>
      <w:outlineLvl w:val="1"/>
    </w:pPr>
    <w:rPr>
      <w:rFonts w:ascii="Segoe UI" w:hAnsi="Segoe UI" w:eastAsia="Segoe UI" w:cs="Segoe UI"/>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140" w:after="60" w:line="259" w:lineRule="auto"/>
      <w:outlineLvl w:val="2"/>
    </w:pPr>
    <w:rPr>
      <w:rFonts w:ascii="Segoe UI" w:hAnsi="Segoe UI" w:eastAsia="Segoe UI" w:cs="Segoe UI"/>
      <w:b/>
      <w:bCs/>
      <w:color w:val="17324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59" w:lineRule="auto" w:before="0"/>
      <w:contextualSpacing/>
    </w:pPr>
    <w:rPr>
      <w:rFonts w:ascii="Segoe UI" w:hAnsi="Segoe UI" w:eastAsia="Segoe UI" w:cs="Segoe UI"/>
      <w:b/>
      <w:color w:val="17324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Capstone_Project_M02L01_Stakeholder_Matrix.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