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HealthFirst Care Requirements Traceability Findings</w:t>
      </w:r>
    </w:p>
    <w:p>
      <w:r>
        <w:rPr>
          <w:rFonts w:ascii="Segoe UI" w:hAnsi="Segoe UI" w:eastAsia="Segoe UI" w:cs="Segoe UI"/>
          <w:b/>
          <w:i w:val="0"/>
          <w:color w:val="136F78"/>
          <w:sz w:val="21"/>
        </w:rPr>
        <w:t>Capstone Project M01L01</w:t>
      </w:r>
    </w:p>
    <w:p>
      <w:r>
        <w:rPr>
          <w:rFonts w:ascii="Segoe UI" w:hAnsi="Segoe UI" w:eastAsia="Segoe UI" w:cs="Segoe UI"/>
          <w:b w:val="0"/>
          <w:i w:val="0"/>
          <w:color w:val="667085"/>
          <w:sz w:val="18"/>
        </w:rPr>
        <w:t>Adwoa Boama Acheampong  |  IBM Business Analyst learning project</w:t>
      </w:r>
    </w:p>
    <w:p>
      <w:pPr>
        <w:pStyle w:val="Heading1"/>
      </w:pPr>
      <w:r>
        <w:t>Purpose and traceability approach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accompanying editable matrix traces each proposed functional or nonfunctional requirement from the simulated case need through objective, stakeholder, MoSCoW priority, acceptance criterion and planned UAT. It is a planning and review control, not evidence that a hospital owner has approved or tested the requirement.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FR-01 through FR-13 and NFR-01 through NFR-05 each map to a distinct planned scenario, UAT-01 through UAT-18. No scenario is reused or marked passed; the scenario records and owner sign-off remain to be produced during a real pilot.</w:t>
      </w:r>
    </w:p>
    <w:p>
      <w:hyperlink r:id="rId11">
        <w:r>
          <w:rPr>
            <w:color w:val="136F78"/>
            <w:u w:val="single"/>
          </w:rPr>
          <w:t>Open the editable requirements traceability matrix</w:t>
        </w:r>
      </w:hyperlink>
    </w:p>
    <w:p>
      <w:pPr>
        <w:pStyle w:val="Heading1"/>
      </w:pPr>
      <w:r>
        <w:t>Requirement inventory and review findings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83"/>
        <w:gridCol w:w="6883"/>
      </w:tblGrid>
      <w:tr>
        <w:trPr>
          <w:tblHeader w:val="true"/>
        </w:trPr>
        <w:tc>
          <w:tcPr>
            <w:tcW w:type="dxa" w:w="288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720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Finding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Requirements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18</w:t>
            </w:r>
          </w:p>
        </w:tc>
      </w:tr>
      <w:tr>
        <w:trPr>
          <w:cantSplit/>
        </w:trPr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Functional</w:t>
            </w:r>
          </w:p>
        </w:tc>
        <w:tc>
          <w:tcPr>
            <w:tcW w:type="dxa" w:w="72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13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Nonfunctional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5</w:t>
            </w:r>
          </w:p>
        </w:tc>
      </w:tr>
      <w:tr>
        <w:trPr>
          <w:cantSplit/>
        </w:trPr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Must priority</w:t>
            </w:r>
          </w:p>
        </w:tc>
        <w:tc>
          <w:tcPr>
            <w:tcW w:type="dxa" w:w="72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11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Open governance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UAT execution, ownership sign-off, quantitative thresholds and implementation remain unverified</w:t>
            </w:r>
          </w:p>
        </w:tc>
      </w:tr>
    </w:tbl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Review checklist: stable IDs and planned scenarios are documented; source/objective links are analyst-proposed; priorities and thresholds await sponsor review; UAT has not been executed; change history remains at the initial draft.</w:t>
      </w:r>
    </w:p>
    <w:p>
      <w:pPr>
        <w:pStyle w:val="Heading1"/>
      </w:pPr>
      <w:r>
        <w:t>Findings from the supplied data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Evidence IDs below are cross-referenced from the RTM workbook. Exact source filenames, denominators and inference boundaries are recorded in its Evidence Findings sheet. The data support prioritization; they do not prove that a proposed system has been implemented or that any stakeholder approved a requirement.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41"/>
        <w:gridCol w:w="3441"/>
        <w:gridCol w:w="3441"/>
        <w:gridCol w:w="3441"/>
      </w:tblGrid>
      <w:tr>
        <w:trPr>
          <w:tblHeader w:val="true"/>
        </w:trPr>
        <w:tc>
          <w:tcPr>
            <w:tcW w:type="dxa" w:w="64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ID</w:t>
            </w:r>
          </w:p>
        </w:tc>
        <w:tc>
          <w:tcPr>
            <w:tcW w:type="dxa" w:w="316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Exact source and measure</w:t>
            </w:r>
          </w:p>
        </w:tc>
        <w:tc>
          <w:tcPr>
            <w:tcW w:type="dxa" w:w="720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Finding with denominator</w:t>
            </w:r>
          </w:p>
        </w:tc>
        <w:tc>
          <w:tcPr>
            <w:tcW w:type="dxa" w:w="2376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Trace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E01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HealthFirst_Appointment_Source.csv — Outcome distribution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56 completed, 46 no-show, 45 rescheduled, 44 cancelled and 9 missing status; completion 28% and no-show 23% of all rows. Denominator: 200 appointment rows Caveat: No-show data do not identify its cause or prove double-booking.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FR-03; FR-04; FR-13</w:t>
            </w:r>
          </w:p>
        </w:tc>
      </w:tr>
      <w:tr>
        <w:trPr>
          <w:cantSplit/>
        </w:trPr>
        <w:tc>
          <w:tcPr>
            <w:tcW w:type="dxa" w:w="64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E02</w:t>
            </w:r>
          </w:p>
        </w:tc>
        <w:tc>
          <w:tcPr>
            <w:tcW w:type="dxa" w:w="316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HealthFirst_Appointment_Source.csv — Peak hour</w:t>
            </w:r>
          </w:p>
        </w:tc>
        <w:tc>
          <w:tcPr>
            <w:tcW w:type="dxa" w:w="72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18:00 has 27 appointments; 9 appointment times are missing. Denominator: 191 rows with parseable time Caveat: Volume alone does not measure capacity or prove a wait-time cause.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FR-02; FR-07; FR-13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E03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HealthFirst_Feedback_Source.csv — Source cleaning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18 wholly blank rows excluded; 6 missing scores imputed with the valid-score mean 6.270833; 3 wait times remain blank. Denominator: 216 raw rows; 198 substantive rows Caveat: Imputation is a course exercise, not an observed patient rating.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FR-12; FR-13; NFR-03</w:t>
            </w:r>
          </w:p>
        </w:tc>
      </w:tr>
      <w:tr>
        <w:trPr>
          <w:cantSplit/>
        </w:trPr>
        <w:tc>
          <w:tcPr>
            <w:tcW w:type="dxa" w:w="64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E04</w:t>
            </w:r>
          </w:p>
        </w:tc>
        <w:tc>
          <w:tcPr>
            <w:tcW w:type="dxa" w:w="316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HealthFirst_Feedback_Source.csv — Department experience</w:t>
            </w:r>
          </w:p>
        </w:tc>
        <w:tc>
          <w:tcPr>
            <w:tcW w:type="dxa" w:w="72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General Medicine has the lowest named-department mean score (5.38/10) and highest mean wait (43.85 minutes). Denominator: 26 General Medicine feedback rows with recorded waits Caveat: Descriptive department comparison; no causal inference.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FR-07; FR-13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E05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HealthFirst_Feedback_Source.csv — Low-score concentration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Orthopedics has 8 scores below the lab threshold of 4, the most among named departments. Denominator: 29 Orthopedics feedback rows Caveat: Threshold of 4 is specified by the lab and is low on a 1–10 source scale.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FR-07; FR-13</w:t>
            </w:r>
          </w:p>
        </w:tc>
      </w:tr>
      <w:tr>
        <w:trPr>
          <w:cantSplit/>
        </w:trPr>
        <w:tc>
          <w:tcPr>
            <w:tcW w:type="dxa" w:w="64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E06</w:t>
            </w:r>
          </w:p>
        </w:tc>
        <w:tc>
          <w:tcPr>
            <w:tcW w:type="dxa" w:w="316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HealthFirst_Resource_Source.csv — Resource source quality</w:t>
            </w:r>
          </w:p>
        </w:tc>
        <w:tc>
          <w:tcPr>
            <w:tcW w:type="dxa" w:w="72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13 exact duplicates removed; resource observations can be summarized by department and availability. Denominator: 213 raw rows; 200 unique substantive rows Caveat: No patient key or complete capacity denominator; shortages are not established by these rows alone.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FR-02; FR-08; FR-13; NFR-03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E07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HealthFirst_Appointment_Source.csv; HealthFirst_Feedback_Source.csv — Patient-key linkage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184 nonblank unique feedback PatientIDs, including 10 repeat patients; 16 appointment patients have no feedback match. Denominator: 200 appointments; 198 substantive feedback rows Caveat: Aggregate repeated feedback by patient before lookup; a matched score is not event-specific.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FR-12; FR-13; NFR-03</w:t>
            </w:r>
          </w:p>
        </w:tc>
      </w:tr>
      <w:tr>
        <w:trPr>
          <w:cantSplit/>
        </w:trPr>
        <w:tc>
          <w:tcPr>
            <w:tcW w:type="dxa" w:w="64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E08</w:t>
            </w:r>
          </w:p>
        </w:tc>
        <w:tc>
          <w:tcPr>
            <w:tcW w:type="dxa" w:w="316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200927-011 M1L1 Stakeholders Profile-for Requirement Gathering -2-.pdf — Stakeholder-described needs</w:t>
            </w:r>
          </w:p>
        </w:tc>
        <w:tc>
          <w:tcPr>
            <w:tcW w:type="dxa" w:w="72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Patient access/notice concerns, scheduling conflicts, clinical resource needs, handoff gaps and IT controls are described in the profiles. Denominator: 10 supplied simulated profiles Caveat: Qualitative case statements, not measured operational effects or approval.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FR-01 to FR-11; NFR-01; NFR-02; NFR-04; NFR-05</w:t>
            </w:r>
          </w:p>
        </w:tc>
      </w:tr>
    </w:tbl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Every ID needs a source need and planned validation route; reject orphan rows before a baseline is approved.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MoSCoW priority is provisional; the sponsor and affected owners must reconcile clinical, patient, operations and IT trade-offs.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Requirements involving privacy, continuity, accessibility and data integrity must be treated as release gates rather than optional polish.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Record actual UAT result and evidence link only after a stakeholder executes the scenario. No pass is inferred from a written test case.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 xml:space="preserve">Page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>HealthFirst Care  |  Business Analysis Capstone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59" w:lineRule="auto"/>
    </w:pPr>
    <w:rPr>
      <w:rFonts w:ascii="Segoe UI" w:hAnsi="Segoe UI" w:eastAsia="Segoe UI" w:cs="Segoe UI"/>
      <w:b w:val="0"/>
      <w:color w:val="2637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59" w:lineRule="auto"/>
      <w:outlineLvl w:val="0"/>
    </w:pPr>
    <w:rPr>
      <w:rFonts w:ascii="Segoe UI" w:hAnsi="Segoe UI" w:eastAsia="Segoe UI" w:cs="Segoe UI"/>
      <w:b/>
      <w:bCs/>
      <w:color w:val="1732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59" w:lineRule="auto"/>
      <w:outlineLvl w:val="1"/>
    </w:pPr>
    <w:rPr>
      <w:rFonts w:ascii="Segoe UI" w:hAnsi="Segoe UI" w:eastAsia="Segoe UI" w:cs="Segoe UI"/>
      <w:b/>
      <w:bCs/>
      <w:color w:val="17324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 w:line="259" w:lineRule="auto"/>
      <w:outlineLvl w:val="2"/>
    </w:pPr>
    <w:rPr>
      <w:rFonts w:ascii="Segoe UI" w:hAnsi="Segoe UI" w:eastAsia="Segoe UI" w:cs="Segoe UI"/>
      <w:b/>
      <w:bCs/>
      <w:color w:val="17324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59" w:lineRule="auto" w:before="0"/>
      <w:contextualSpacing/>
    </w:pPr>
    <w:rPr>
      <w:rFonts w:ascii="Segoe UI" w:hAnsi="Segoe UI" w:eastAsia="Segoe UI" w:cs="Segoe UI"/>
      <w:b/>
      <w:color w:val="1732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Capstone_Project_M01L01_Requirements_Traceability_Matrix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