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HealthFirst Care Business Requirements Document</w:t>
      </w:r>
    </w:p>
    <w:p>
      <w:r>
        <w:rPr>
          <w:rFonts w:ascii="Segoe UI" w:hAnsi="Segoe UI" w:eastAsia="Segoe UI" w:cs="Segoe UI"/>
          <w:b/>
          <w:i w:val="0"/>
          <w:color w:val="136F78"/>
          <w:sz w:val="21"/>
        </w:rPr>
        <w:t>Prerequisite for the IBM Business Analyst capstone traceability and planning labs</w:t>
      </w:r>
    </w:p>
    <w:p>
      <w:r>
        <w:rPr>
          <w:rFonts w:ascii="Segoe UI" w:hAnsi="Segoe UI" w:eastAsia="Segoe UI" w:cs="Segoe UI"/>
          <w:b w:val="0"/>
          <w:i w:val="0"/>
          <w:color w:val="667085"/>
          <w:sz w:val="18"/>
        </w:rPr>
        <w:t>Adwoa Boama Acheampong  |  IBM Business Analyst learning project</w:t>
      </w:r>
    </w:p>
    <w:p>
      <w:pPr>
        <w:pStyle w:val="Heading1"/>
      </w:pPr>
      <w:r>
        <w:t>Purpose and current conclusion</w:t>
      </w:r>
    </w:p>
    <w:p>
      <w:pPr>
        <w:keepLines w:val="0"/>
      </w:pPr>
      <w:r>
        <w:rPr>
          <w:rFonts w:ascii="Segoe UI" w:hAnsi="Segoe UI" w:eastAsia="Segoe UI" w:cs="Segoe UI"/>
          <w:b w:val="0"/>
          <w:i w:val="0"/>
          <w:color w:val="000000"/>
          <w:sz w:val="20"/>
        </w:rPr>
        <w:t>This document defines the proposed operational-improvement scope for HealthFirst Care. The supplied stakeholder profiles and operational datasets show scheduling friction, long waits, fragmented handoffs, resource constraints and data-quality gaps. The recommended response is a controlled pilot that integrates scheduling, notifications, check-in, resource visibility and governed reporting. No implementation, approval or measured benefit is claimed.</w:t>
      </w:r>
    </w:p>
    <w:p>
      <w:pPr>
        <w:pStyle w:val="Heading1"/>
      </w:pPr>
      <w:r>
        <w:t>Business problem</w:t>
      </w:r>
    </w:p>
    <w:p>
      <w:pPr>
        <w:keepLines w:val="0"/>
      </w:pPr>
      <w:r>
        <w:rPr>
          <w:rFonts w:ascii="Segoe UI" w:hAnsi="Segoe UI" w:eastAsia="Segoe UI" w:cs="Segoe UI"/>
          <w:b w:val="0"/>
          <w:i w:val="0"/>
          <w:color w:val="000000"/>
          <w:sz w:val="20"/>
        </w:rPr>
        <w:t>Patients report difficulty booking, late cancellation notices, waits beyond 30 minutes and unclear next steps. Clinicians and nurses report overbooking, limited equipment, delayed test results and weak transfer coordination. Administrative users report double bookings and incomplete records. IT reports disconnected systems, outages, usability problems and security concerns.</w:t>
      </w:r>
    </w:p>
    <w:p>
      <w:pPr>
        <w:pStyle w:val="Heading1"/>
      </w:pPr>
      <w:r>
        <w:t>Objectives</w:t>
      </w:r>
    </w:p>
    <w:p>
      <w:pPr>
        <w:pStyle w:val="ListBullet"/>
        <w:spacing w:after="40"/>
      </w:pPr>
      <w:r>
        <w:rPr>
          <w:rFonts w:ascii="Segoe UI" w:hAnsi="Segoe UI" w:eastAsia="Segoe UI" w:cs="Segoe UI"/>
          <w:b w:val="0"/>
          <w:i w:val="0"/>
          <w:color w:val="000000"/>
          <w:sz w:val="20"/>
        </w:rPr>
        <w:t>Reduce avoidable appointment conflict, delay and missed communication.</w:t>
      </w:r>
    </w:p>
    <w:p>
      <w:pPr>
        <w:pStyle w:val="ListBullet"/>
        <w:spacing w:after="40"/>
      </w:pPr>
      <w:r>
        <w:rPr>
          <w:rFonts w:ascii="Segoe UI" w:hAnsi="Segoe UI" w:eastAsia="Segoe UI" w:cs="Segoe UI"/>
          <w:b w:val="0"/>
          <w:i w:val="0"/>
          <w:color w:val="000000"/>
          <w:sz w:val="20"/>
        </w:rPr>
        <w:t>Improve visibility of clinician, room, equipment and queue status.</w:t>
      </w:r>
    </w:p>
    <w:p>
      <w:pPr>
        <w:pStyle w:val="ListBullet"/>
        <w:spacing w:after="40"/>
      </w:pPr>
      <w:r>
        <w:rPr>
          <w:rFonts w:ascii="Segoe UI" w:hAnsi="Segoe UI" w:eastAsia="Segoe UI" w:cs="Segoe UI"/>
          <w:b w:val="0"/>
          <w:i w:val="0"/>
          <w:color w:val="000000"/>
          <w:sz w:val="20"/>
        </w:rPr>
        <w:t>Make handoffs traceable across scheduling, check-in, referral, transfer and discharge.</w:t>
      </w:r>
    </w:p>
    <w:p>
      <w:pPr>
        <w:pStyle w:val="ListBullet"/>
        <w:spacing w:after="40"/>
      </w:pPr>
      <w:r>
        <w:rPr>
          <w:rFonts w:ascii="Segoe UI" w:hAnsi="Segoe UI" w:eastAsia="Segoe UI" w:cs="Segoe UI"/>
          <w:b w:val="0"/>
          <w:i w:val="0"/>
          <w:color w:val="000000"/>
          <w:sz w:val="20"/>
        </w:rPr>
        <w:t>Provide reconciled operational measures with explicit data-quality exceptions.</w:t>
      </w:r>
    </w:p>
    <w:p>
      <w:pPr>
        <w:pStyle w:val="ListBullet"/>
        <w:spacing w:after="40"/>
      </w:pPr>
      <w:r>
        <w:rPr>
          <w:rFonts w:ascii="Segoe UI" w:hAnsi="Segoe UI" w:eastAsia="Segoe UI" w:cs="Segoe UI"/>
          <w:b w:val="0"/>
          <w:i w:val="0"/>
          <w:color w:val="000000"/>
          <w:sz w:val="20"/>
        </w:rPr>
        <w:t>Protect patient information and preserve safe downtime procedures.</w:t>
      </w:r>
    </w:p>
    <w:p>
      <w:pPr>
        <w:pStyle w:val="Heading1"/>
      </w:pPr>
      <w:r>
        <w:t>Scope</w:t>
      </w:r>
    </w:p>
    <w:tbl>
      <w:tblPr>
        <w:tblStyle w:val="TableGrid"/>
        <w:tblW w:type="auto" w:w="0"/>
        <w:jc w:val="center"/>
        <w:tblLayout w:type="fixed"/>
        <w:tblLook w:firstColumn="1" w:firstRow="1" w:lastColumn="0" w:lastRow="0" w:noHBand="0" w:noVBand="1" w:val="04A0"/>
      </w:tblPr>
      <w:tblGrid>
        <w:gridCol w:w="5083"/>
        <w:gridCol w:w="5083"/>
      </w:tblGrid>
      <w:tr>
        <w:trPr>
          <w:tblHeader w:val="true"/>
        </w:trPr>
        <w:tc>
          <w:tcPr>
            <w:tcW w:type="dxa" w:w="4608"/>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7"/>
              </w:rPr>
              <w:t>In scope</w:t>
            </w:r>
          </w:p>
        </w:tc>
        <w:tc>
          <w:tcPr>
            <w:tcW w:type="dxa" w:w="4608"/>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7"/>
              </w:rPr>
              <w:t>Out of scope</w:t>
            </w:r>
          </w:p>
        </w:tc>
      </w:tr>
      <w:tr>
        <w:trPr>
          <w:cantSplit/>
        </w:trPr>
        <w:tc>
          <w:tcPr>
            <w:tcW w:type="dxa" w:w="460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7"/>
              </w:rPr>
              <w:t>Appointment request, scheduling, confirmation, changes and closure</w:t>
            </w:r>
          </w:p>
        </w:tc>
        <w:tc>
          <w:tcPr>
            <w:tcW w:type="dxa" w:w="460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7"/>
              </w:rPr>
              <w:t>Clinical diagnosis, treatment protocols and medication decisions</w:t>
            </w:r>
          </w:p>
        </w:tc>
      </w:tr>
      <w:tr>
        <w:trPr>
          <w:cantSplit/>
        </w:trPr>
        <w:tc>
          <w:tcPr>
            <w:tcW w:type="dxa" w:w="460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7"/>
              </w:rPr>
              <w:t>Patient check-in, queue updates and assisted alternatives</w:t>
            </w:r>
          </w:p>
        </w:tc>
        <w:tc>
          <w:tcPr>
            <w:tcW w:type="dxa" w:w="460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7"/>
              </w:rPr>
              <w:t>Full replacement of billing, laboratory, radiology or electronic medical records</w:t>
            </w:r>
          </w:p>
        </w:tc>
      </w:tr>
      <w:tr>
        <w:trPr>
          <w:cantSplit/>
        </w:trPr>
        <w:tc>
          <w:tcPr>
            <w:tcW w:type="dxa" w:w="460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7"/>
              </w:rPr>
              <w:t>Department resource visibility and issue escalation</w:t>
            </w:r>
          </w:p>
        </w:tc>
        <w:tc>
          <w:tcPr>
            <w:tcW w:type="dxa" w:w="460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7"/>
              </w:rPr>
              <w:t>Hospital construction or permanent staffing establishment</w:t>
            </w:r>
          </w:p>
        </w:tc>
      </w:tr>
      <w:tr>
        <w:trPr>
          <w:cantSplit/>
        </w:trPr>
        <w:tc>
          <w:tcPr>
            <w:tcW w:type="dxa" w:w="460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7"/>
              </w:rPr>
              <w:t>Referral, result, transfer, follow-up and discharge handoffs</w:t>
            </w:r>
          </w:p>
        </w:tc>
        <w:tc>
          <w:tcPr>
            <w:tcW w:type="dxa" w:w="460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7"/>
              </w:rPr>
              <w:t>Claims that department-level data proves patient-level causes</w:t>
            </w:r>
          </w:p>
        </w:tc>
      </w:tr>
      <w:tr>
        <w:trPr>
          <w:cantSplit/>
        </w:trPr>
        <w:tc>
          <w:tcPr>
            <w:tcW w:type="dxa" w:w="460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7"/>
              </w:rPr>
              <w:t>Role access, audit, downtime, training, UAT and dashboard controls</w:t>
            </w:r>
          </w:p>
        </w:tc>
        <w:tc>
          <w:tcPr>
            <w:tcW w:type="dxa" w:w="460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7"/>
              </w:rPr>
              <w:t>Approved budgets, dates, staffing levels or benefits not supplied by the case</w:t>
            </w:r>
          </w:p>
        </w:tc>
      </w:tr>
    </w:tbl>
    <w:p>
      <w:pPr>
        <w:pStyle w:val="Heading1"/>
      </w:pPr>
      <w:r>
        <w:t>Stakeholders</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trPr>
        <w:tc>
          <w:tcPr>
            <w:tcW w:type="dxa" w:w="2016"/>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Group</w:t>
            </w:r>
          </w:p>
        </w:tc>
        <w:tc>
          <w:tcPr>
            <w:tcW w:type="dxa" w:w="5328"/>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Primary interests</w:t>
            </w:r>
          </w:p>
        </w:tc>
        <w:tc>
          <w:tcPr>
            <w:tcW w:type="dxa" w:w="2016"/>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Role in validation</w:t>
            </w:r>
          </w:p>
        </w:tc>
      </w:tr>
      <w:tr>
        <w:trPr>
          <w:cantSplit/>
        </w:trPr>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Patient</w:t>
            </w:r>
          </w:p>
        </w:tc>
        <w:tc>
          <w:tcPr>
            <w:tcW w:type="dxa" w:w="53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Simple online booking, timely cancellation and delay notices, clear next steps</w:t>
            </w:r>
          </w:p>
        </w:tc>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Review needs, workflow and acceptance evidence</w:t>
            </w:r>
          </w:p>
        </w:tc>
      </w:tr>
      <w:tr>
        <w:trPr>
          <w:cantSplit/>
        </w:trPr>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Patient</w:t>
            </w:r>
          </w:p>
        </w:tc>
        <w:tc>
          <w:tcPr>
            <w:tcW w:type="dxa" w:w="53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Assisted/in-person booking and reachable prescription support</w:t>
            </w:r>
          </w:p>
        </w:tc>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Review needs, workflow and acceptance evidence</w:t>
            </w:r>
          </w:p>
        </w:tc>
      </w:tr>
      <w:tr>
        <w:trPr>
          <w:cantSplit/>
        </w:trPr>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Cardiologist</w:t>
            </w:r>
          </w:p>
        </w:tc>
        <w:tc>
          <w:tcPr>
            <w:tcW w:type="dxa" w:w="53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Balanced schedules, diagnostic access, timely lab results and transfers</w:t>
            </w:r>
          </w:p>
        </w:tc>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Review needs, workflow and acceptance evidence</w:t>
            </w:r>
          </w:p>
        </w:tc>
      </w:tr>
      <w:tr>
        <w:trPr>
          <w:cantSplit/>
        </w:trPr>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Orthopedist</w:t>
            </w:r>
          </w:p>
        </w:tc>
        <w:tc>
          <w:tcPr>
            <w:tcW w:type="dxa" w:w="53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Operating-room and equipment access, referral clarity, physiotherapy updates</w:t>
            </w:r>
          </w:p>
        </w:tc>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Review needs, workflow and acceptance evidence</w:t>
            </w:r>
          </w:p>
        </w:tc>
      </w:tr>
      <w:tr>
        <w:trPr>
          <w:cantSplit/>
        </w:trPr>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Pediatric nurse</w:t>
            </w:r>
          </w:p>
        </w:tc>
        <w:tc>
          <w:tcPr>
            <w:tcW w:type="dxa" w:w="53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Shift capacity, supplies and transfer notification</w:t>
            </w:r>
          </w:p>
        </w:tc>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Review needs, workflow and acceptance evidence</w:t>
            </w:r>
          </w:p>
        </w:tc>
      </w:tr>
      <w:tr>
        <w:trPr>
          <w:cantSplit/>
        </w:trPr>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Emergency nurse</w:t>
            </w:r>
          </w:p>
        </w:tc>
        <w:tc>
          <w:tcPr>
            <w:tcW w:type="dxa" w:w="53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Weekend staffing, bed/monitor access, diagnostic results and ICU handoffs</w:t>
            </w:r>
          </w:p>
        </w:tc>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Review needs, workflow and acceptance evidence</w:t>
            </w:r>
          </w:p>
        </w:tc>
      </w:tr>
      <w:tr>
        <w:trPr>
          <w:cantSplit/>
        </w:trPr>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Appointment scheduler</w:t>
            </w:r>
          </w:p>
        </w:tc>
        <w:tc>
          <w:tcPr>
            <w:tcW w:type="dxa" w:w="53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Conflict prevention, live availability and easier record retrieval</w:t>
            </w:r>
          </w:p>
        </w:tc>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Review needs, workflow and acceptance evidence</w:t>
            </w:r>
          </w:p>
        </w:tc>
      </w:tr>
      <w:tr>
        <w:trPr>
          <w:cantSplit/>
        </w:trPr>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Billing administrator</w:t>
            </w:r>
          </w:p>
        </w:tc>
        <w:tc>
          <w:tcPr>
            <w:tcW w:type="dxa" w:w="53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Complete scheduling and treatment data for reconciliation</w:t>
            </w:r>
          </w:p>
        </w:tc>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Review needs, workflow and acceptance evidence</w:t>
            </w:r>
          </w:p>
        </w:tc>
      </w:tr>
      <w:tr>
        <w:trPr>
          <w:cantSplit/>
        </w:trPr>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IT manager</w:t>
            </w:r>
          </w:p>
        </w:tc>
        <w:tc>
          <w:tcPr>
            <w:tcW w:type="dxa" w:w="53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Integrated systems, network resilience and scalable architecture</w:t>
            </w:r>
          </w:p>
        </w:tc>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Review needs, workflow and acceptance evidence</w:t>
            </w:r>
          </w:p>
        </w:tc>
      </w:tr>
      <w:tr>
        <w:trPr>
          <w:cantSplit/>
        </w:trPr>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Software developer</w:t>
            </w:r>
          </w:p>
        </w:tc>
        <w:tc>
          <w:tcPr>
            <w:tcW w:type="dxa" w:w="53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Usable interface, security remediation, notifications and analytics</w:t>
            </w:r>
          </w:p>
        </w:tc>
        <w:tc>
          <w:tcPr>
            <w:tcW w:type="dxa" w:w="20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Review needs, workflow and acceptance evidence</w:t>
            </w:r>
          </w:p>
        </w:tc>
      </w:tr>
      <w:tr>
        <w:trPr>
          <w:cantSplit/>
        </w:trPr>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Hospital leadership</w:t>
            </w:r>
          </w:p>
        </w:tc>
        <w:tc>
          <w:tcPr>
            <w:tcW w:type="dxa" w:w="53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Service performance, risk, scope and benefit decisions</w:t>
            </w:r>
          </w:p>
        </w:tc>
        <w:tc>
          <w:tcPr>
            <w:tcW w:type="dxa" w:w="20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Review needs, workflow and acceptance evidence</w:t>
            </w:r>
          </w:p>
        </w:tc>
      </w:tr>
    </w:tbl>
    <w:p>
      <w:pPr>
        <w:pStyle w:val="Heading1"/>
      </w:pPr>
      <w:r>
        <w:t>Requirements</w:t>
      </w:r>
    </w:p>
    <w:tbl>
      <w:tblPr>
        <w:tblStyle w:val="TableGrid"/>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trPr>
        <w:tc>
          <w:tcPr>
            <w:tcW w:type="dxa" w:w="79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ID</w:t>
            </w:r>
          </w:p>
        </w:tc>
        <w:tc>
          <w:tcPr>
            <w:tcW w:type="dxa" w:w="115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Type</w:t>
            </w:r>
          </w:p>
        </w:tc>
        <w:tc>
          <w:tcPr>
            <w:tcW w:type="dxa" w:w="3816"/>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Requirement</w:t>
            </w:r>
          </w:p>
        </w:tc>
        <w:tc>
          <w:tcPr>
            <w:tcW w:type="dxa" w:w="936"/>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Priority</w:t>
            </w:r>
          </w:p>
        </w:tc>
        <w:tc>
          <w:tcPr>
            <w:tcW w:type="dxa" w:w="3384"/>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Acceptance criterion</w:t>
            </w:r>
          </w:p>
        </w:tc>
        <w:tc>
          <w:tcPr>
            <w:tcW w:type="dxa" w:w="1080"/>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4"/>
              </w:rPr>
              <w:t>Status</w:t>
            </w:r>
          </w:p>
        </w:tc>
      </w:tr>
      <w:tr>
        <w:trPr>
          <w:cantSplit/>
        </w:trP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FR-01</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Provide accessible online and staff-assisted appointment requests.</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Must</w:t>
            </w:r>
          </w:p>
        </w:tc>
        <w:tc>
          <w:tcPr>
            <w:tcW w:type="dxa" w:w="338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Appointment request can be created through both channels with required fields validated.</w:t>
            </w:r>
          </w:p>
        </w:tc>
        <w:tc>
          <w:tcPr>
            <w:tcW w:type="dxa" w:w="108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FR-02</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Display current clinician, room and equipment availability to authorized schedulers.</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Must</w:t>
            </w:r>
          </w:p>
        </w:tc>
        <w:tc>
          <w:tcPr>
            <w:tcW w:type="dxa" w:w="3384"/>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Authorized user can view current availability and its last refresh time.</w:t>
            </w:r>
          </w:p>
        </w:tc>
        <w:tc>
          <w:tcPr>
            <w:tcW w:type="dxa" w:w="108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FR-03</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Detect and block double-booking conflicts before confirmation.</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Must</w:t>
            </w:r>
          </w:p>
        </w:tc>
        <w:tc>
          <w:tcPr>
            <w:tcW w:type="dxa" w:w="338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Conflict scenarios are rejected and alternative slots are offered.</w:t>
            </w:r>
          </w:p>
        </w:tc>
        <w:tc>
          <w:tcPr>
            <w:tcW w:type="dxa" w:w="108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FR-04</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Send confirmation, reminder, change, cancellation and delay notices through patient-selected SMS or email.</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Must</w:t>
            </w:r>
          </w:p>
        </w:tc>
        <w:tc>
          <w:tcPr>
            <w:tcW w:type="dxa" w:w="3384"/>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Delivery status and preference are recorded for each notice.</w:t>
            </w:r>
          </w:p>
        </w:tc>
        <w:tc>
          <w:tcPr>
            <w:tcW w:type="dxa" w:w="108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FR-05</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Support assisted booking and printed instructions for patients who cannot use the online channel.</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Must</w:t>
            </w:r>
          </w:p>
        </w:tc>
        <w:tc>
          <w:tcPr>
            <w:tcW w:type="dxa" w:w="338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Staff can complete the same request without requiring patient self-service.</w:t>
            </w:r>
          </w:p>
        </w:tc>
        <w:tc>
          <w:tcPr>
            <w:tcW w:type="dxa" w:w="108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FR-06</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Allow pre-arrival or kiosk check-in with identity and appointment validation.</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Should</w:t>
            </w:r>
          </w:p>
        </w:tc>
        <w:tc>
          <w:tcPr>
            <w:tcW w:type="dxa" w:w="3384"/>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Valid check-in updates queue status and routes exceptions to staff.</w:t>
            </w:r>
          </w:p>
        </w:tc>
        <w:tc>
          <w:tcPr>
            <w:tcW w:type="dxa" w:w="108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FR-07</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Show queue and delay status to authorized staff and affected patients.</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Should</w:t>
            </w:r>
          </w:p>
        </w:tc>
        <w:tc>
          <w:tcPr>
            <w:tcW w:type="dxa" w:w="338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Delay status is visible and a change notice is issued when the approved threshold is exceeded.</w:t>
            </w:r>
          </w:p>
        </w:tc>
        <w:tc>
          <w:tcPr>
            <w:tcW w:type="dxa" w:w="108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FR-08</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Provide a department resource dashboard for rooms, staff, equipment and availability status.</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Must</w:t>
            </w:r>
          </w:p>
        </w:tc>
        <w:tc>
          <w:tcPr>
            <w:tcW w:type="dxa" w:w="3384"/>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Dashboard reconciles to source totals and exposes unavailable or stale records.</w:t>
            </w:r>
          </w:p>
        </w:tc>
        <w:tc>
          <w:tcPr>
            <w:tcW w:type="dxa" w:w="108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FR-09</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Record and assign interdepartmental resource or system issues with status and escalation.</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Should</w:t>
            </w:r>
          </w:p>
        </w:tc>
        <w:tc>
          <w:tcPr>
            <w:tcW w:type="dxa" w:w="338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Each issue has owner, timestamp, status and escalation route.</w:t>
            </w:r>
          </w:p>
        </w:tc>
        <w:tc>
          <w:tcPr>
            <w:tcW w:type="dxa" w:w="108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FR-10</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Track referrals, test results, transfers and follow-up actions across departments.</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Should</w:t>
            </w:r>
          </w:p>
        </w:tc>
        <w:tc>
          <w:tcPr>
            <w:tcW w:type="dxa" w:w="3384"/>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Required handoff fields and recipient acknowledgement are recorded.</w:t>
            </w:r>
          </w:p>
        </w:tc>
        <w:tc>
          <w:tcPr>
            <w:tcW w:type="dxa" w:w="108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FR-11</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Coordinate discharge readiness, instructions, medicines, billing clearance and follow-up booking.</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Should</w:t>
            </w:r>
          </w:p>
        </w:tc>
        <w:tc>
          <w:tcPr>
            <w:tcW w:type="dxa" w:w="338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Discharge cannot close while a mandatory workstream remains unresolved.</w:t>
            </w:r>
          </w:p>
        </w:tc>
        <w:tc>
          <w:tcPr>
            <w:tcW w:type="dxa" w:w="108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FR-12</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Trigger patient feedback after appointment or discharge closure.</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Should</w:t>
            </w:r>
          </w:p>
        </w:tc>
        <w:tc>
          <w:tcPr>
            <w:tcW w:type="dxa" w:w="3384"/>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Feedback request is linked to the relevant patient and service event without duplicate sends.</w:t>
            </w:r>
          </w:p>
        </w:tc>
        <w:tc>
          <w:tcPr>
            <w:tcW w:type="dxa" w:w="108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FR-13</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Functional</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Report appointment volume, outcome, wait time, feedback, resource use and availability by department.</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Must</w:t>
            </w:r>
          </w:p>
        </w:tc>
        <w:tc>
          <w:tcPr>
            <w:tcW w:type="dxa" w:w="338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Published KPIs use defined denominators and reconcile to cleaned source records.</w:t>
            </w:r>
          </w:p>
        </w:tc>
        <w:tc>
          <w:tcPr>
            <w:tcW w:type="dxa" w:w="108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NFR-01</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Security</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Restrict patient and operational data by role and retain an audit history of access and changes.</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Must</w:t>
            </w:r>
          </w:p>
        </w:tc>
        <w:tc>
          <w:tcPr>
            <w:tcW w:type="dxa" w:w="3384"/>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Unauthorized role tests fail and authorized changes create auditable records.</w:t>
            </w:r>
          </w:p>
        </w:tc>
        <w:tc>
          <w:tcPr>
            <w:tcW w:type="dxa" w:w="108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NFR-02</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Continuity</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Provide a controlled downtime process with later reconciliation.</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Must</w:t>
            </w:r>
          </w:p>
        </w:tc>
        <w:tc>
          <w:tcPr>
            <w:tcW w:type="dxa" w:w="338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Approved downtime records can be reconciled without duplicate appointments.</w:t>
            </w:r>
          </w:p>
        </w:tc>
        <w:tc>
          <w:tcPr>
            <w:tcW w:type="dxa" w:w="108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NFR-03</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Data quality</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Validate required fields, identifiers, categories and source freshness before reporting.</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Must</w:t>
            </w:r>
          </w:p>
        </w:tc>
        <w:tc>
          <w:tcPr>
            <w:tcW w:type="dxa" w:w="3384"/>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Invalid or stale records enter an exception queue and do not appear as valid zero values.</w:t>
            </w:r>
          </w:p>
        </w:tc>
        <w:tc>
          <w:tcPr>
            <w:tcW w:type="dxa" w:w="108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NFR-04</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Accessibility</w:t>
            </w:r>
          </w:p>
        </w:tc>
        <w:tc>
          <w:tcPr>
            <w:tcW w:type="dxa" w:w="381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Use readable instructions and preserve assisted alternatives for digital interactions.</w:t>
            </w:r>
          </w:p>
        </w:tc>
        <w:tc>
          <w:tcPr>
            <w:tcW w:type="dxa" w:w="936"/>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Must</w:t>
            </w:r>
          </w:p>
        </w:tc>
        <w:tc>
          <w:tcPr>
            <w:tcW w:type="dxa" w:w="3384"/>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Accessibility review covers online, kiosk and notification content.</w:t>
            </w:r>
          </w:p>
        </w:tc>
        <w:tc>
          <w:tcPr>
            <w:tcW w:type="dxa" w:w="108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Provisional</w:t>
            </w:r>
          </w:p>
        </w:tc>
      </w:tr>
      <w:tr>
        <w:trPr>
          <w:cantSplit/>
        </w:trPr>
        <w:tc>
          <w:tcPr>
            <w:tcW w:type="dxa" w:w="79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NFR-05</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Performance</w:t>
            </w:r>
          </w:p>
        </w:tc>
        <w:tc>
          <w:tcPr>
            <w:tcW w:type="dxa" w:w="381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Meet sponsor-approved response and refresh thresholds under pilot load.</w:t>
            </w:r>
          </w:p>
        </w:tc>
        <w:tc>
          <w:tcPr>
            <w:tcW w:type="dxa" w:w="936"/>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Should</w:t>
            </w:r>
          </w:p>
        </w:tc>
        <w:tc>
          <w:tcPr>
            <w:tcW w:type="dxa" w:w="3384"/>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Pilot load test meets baselined thresholds; thresholds remain an open approval item.</w:t>
            </w:r>
          </w:p>
        </w:tc>
        <w:tc>
          <w:tcPr>
            <w:tcW w:type="dxa" w:w="108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4"/>
              </w:rPr>
              <w:t>Open threshold</w:t>
            </w:r>
          </w:p>
        </w:tc>
      </w:tr>
    </w:tbl>
    <w:p>
      <w:pPr>
        <w:pStyle w:val="Heading1"/>
      </w:pPr>
      <w:r>
        <w:t>Data and evidence</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1728"/>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Source</w:t>
            </w:r>
          </w:p>
        </w:tc>
        <w:tc>
          <w:tcPr>
            <w:tcW w:type="dxa" w:w="115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Raw rows</w:t>
            </w:r>
          </w:p>
        </w:tc>
        <w:tc>
          <w:tcPr>
            <w:tcW w:type="dxa" w:w="1728"/>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Usable rows</w:t>
            </w:r>
          </w:p>
        </w:tc>
        <w:tc>
          <w:tcPr>
            <w:tcW w:type="dxa" w:w="475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Material limitations</w:t>
            </w:r>
          </w:p>
        </w:tc>
      </w:tr>
      <w:tr>
        <w:trPr>
          <w:cantSplit/>
        </w:trPr>
        <w:tc>
          <w:tcPr>
            <w:tcW w:type="dxa" w:w="17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Appointments</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200</w:t>
            </w:r>
          </w:p>
        </w:tc>
        <w:tc>
          <w:tcPr>
            <w:tcW w:type="dxa" w:w="17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200</w:t>
            </w:r>
          </w:p>
        </w:tc>
        <w:tc>
          <w:tcPr>
            <w:tcW w:type="dxa" w:w="47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Missing IDs, dates, times and statuses; no exact duplicate rows</w:t>
            </w:r>
          </w:p>
        </w:tc>
      </w:tr>
      <w:tr>
        <w:trPr>
          <w:cantSplit/>
        </w:trPr>
        <w:tc>
          <w:tcPr>
            <w:tcW w:type="dxa" w:w="17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Feedback</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216</w:t>
            </w:r>
          </w:p>
        </w:tc>
        <w:tc>
          <w:tcPr>
            <w:tcW w:type="dxa" w:w="17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198</w:t>
            </w:r>
          </w:p>
        </w:tc>
        <w:tc>
          <w:tcPr>
            <w:tcW w:type="dxa" w:w="47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18 all-empty records quarantined; no duplicates among substantive records; 6 missing scores</w:t>
            </w:r>
          </w:p>
        </w:tc>
      </w:tr>
      <w:tr>
        <w:trPr>
          <w:cantSplit/>
        </w:trPr>
        <w:tc>
          <w:tcPr>
            <w:tcW w:type="dxa" w:w="17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Resources</w:t>
            </w:r>
          </w:p>
        </w:tc>
        <w:tc>
          <w:tcPr>
            <w:tcW w:type="dxa" w:w="11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213</w:t>
            </w:r>
          </w:p>
        </w:tc>
        <w:tc>
          <w:tcPr>
            <w:tcW w:type="dxa" w:w="1728"/>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200</w:t>
            </w:r>
          </w:p>
        </w:tc>
        <w:tc>
          <w:tcPr>
            <w:tcW w:type="dxa" w:w="47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13 exact duplicates; missing identifiers, categories and dates</w:t>
            </w:r>
          </w:p>
        </w:tc>
      </w:tr>
      <w:tr>
        <w:trPr>
          <w:cantSplit/>
        </w:trPr>
        <w:tc>
          <w:tcPr>
            <w:tcW w:type="dxa" w:w="17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Stakeholder profiles</w:t>
            </w:r>
          </w:p>
        </w:tc>
        <w:tc>
          <w:tcPr>
            <w:tcW w:type="dxa" w:w="11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10</w:t>
            </w:r>
          </w:p>
        </w:tc>
        <w:tc>
          <w:tcPr>
            <w:tcW w:type="dxa" w:w="1728"/>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10</w:t>
            </w:r>
          </w:p>
        </w:tc>
        <w:tc>
          <w:tcPr>
            <w:tcW w:type="dxa" w:w="47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Purposeful simulated profiles, not representative survey data</w:t>
            </w:r>
          </w:p>
        </w:tc>
      </w:tr>
    </w:tbl>
    <w:p>
      <w:pPr>
        <w:pStyle w:val="Heading1"/>
      </w:pPr>
      <w:r>
        <w:t>Acceptance and validation approach</w:t>
      </w:r>
    </w:p>
    <w:p>
      <w:pPr>
        <w:keepLines w:val="0"/>
      </w:pPr>
      <w:r>
        <w:rPr>
          <w:rFonts w:ascii="Segoe UI" w:hAnsi="Segoe UI" w:eastAsia="Segoe UI" w:cs="Segoe UI"/>
          <w:b w:val="0"/>
          <w:i w:val="0"/>
          <w:color w:val="000000"/>
          <w:sz w:val="20"/>
        </w:rPr>
        <w:t>Each requirement has a planned UAT case in the RTM. Passing status will be recorded only after authorized users execute the scenario and evidence is retained. Performance thresholds, benefit targets and go-live criteria remain open governance decisions.</w:t>
      </w:r>
    </w:p>
    <w:p>
      <w:pPr>
        <w:pStyle w:val="Heading1"/>
      </w:pPr>
      <w:r>
        <w:t>Assumptions constraints and open questions</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trPr>
        <w:tc>
          <w:tcPr>
            <w:tcW w:type="dxa" w:w="1440"/>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Type</w:t>
            </w:r>
          </w:p>
        </w:tc>
        <w:tc>
          <w:tcPr>
            <w:tcW w:type="dxa" w:w="4320"/>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Item</w:t>
            </w:r>
          </w:p>
        </w:tc>
        <w:tc>
          <w:tcPr>
            <w:tcW w:type="dxa" w:w="4752"/>
            <w:shd w:fill="17324D"/>
            <w:tcBorders>
              <w:top w:val="single" w:sz="4" w:color="D9D9D9"/>
              <w:left w:val="single" w:sz="4" w:color="D9D9D9"/>
              <w:bottom w:val="single" w:sz="4" w:color="D9D9D9"/>
              <w:right w:val="single" w:sz="4" w:color="D9D9D9"/>
              <w:insideH w:val="single" w:sz="4" w:color="D9D9D9"/>
              <w:insideV w:val="single" w:sz="4" w:color="D9D9D9"/>
            </w:tcBorders>
            <w:vAlign w:val="center"/>
            <w:tcMar>
              <w:top w:w="60" w:type="dxa"/>
              <w:start w:w="90" w:type="dxa"/>
              <w:bottom w:w="60" w:type="dxa"/>
              <w:end w:w="90" w:type="dxa"/>
            </w:tcMar>
          </w:tcPr>
          <w:p>
            <w:pPr>
              <w:jc w:val="center"/>
            </w:pPr>
            <w:r>
              <w:rPr>
                <w:rFonts w:ascii="Segoe UI" w:hAnsi="Segoe UI" w:eastAsia="Segoe UI" w:cs="Segoe UI"/>
                <w:b/>
                <w:i w:val="0"/>
                <w:color w:val="FFFFFF"/>
                <w:sz w:val="16"/>
              </w:rPr>
              <w:t>Treatment</w:t>
            </w:r>
          </w:p>
        </w:tc>
      </w:tr>
      <w:tr>
        <w:trPr>
          <w:cantSplit/>
        </w:trP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Assumption</w:t>
            </w:r>
          </w:p>
        </w:tc>
        <w:tc>
          <w:tcPr>
            <w:tcW w:type="dxa" w:w="432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Departments use comparable status definitions</w:t>
            </w:r>
          </w:p>
        </w:tc>
        <w:tc>
          <w:tcPr>
            <w:tcW w:type="dxa" w:w="47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Validate before baselining KPI comparisons</w:t>
            </w:r>
          </w:p>
        </w:tc>
      </w:tr>
      <w:tr>
        <w:trPr>
          <w:cantSplit/>
        </w:trPr>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Constraint</w:t>
            </w:r>
          </w:p>
        </w:tc>
        <w:tc>
          <w:tcPr>
            <w:tcW w:type="dxa" w:w="432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Department is the only key shared by all three datasets</w:t>
            </w:r>
          </w:p>
        </w:tc>
        <w:tc>
          <w:tcPr>
            <w:tcW w:type="dxa" w:w="47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Use department aggregates and avoid patient-level resource causation</w:t>
            </w:r>
          </w:p>
        </w:tc>
      </w:tr>
      <w:tr>
        <w:trPr>
          <w:cantSplit/>
        </w:trP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Constraint</w:t>
            </w:r>
          </w:p>
        </w:tc>
        <w:tc>
          <w:tcPr>
            <w:tcW w:type="dxa" w:w="432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Legacy systems and network downtime may limit real-time integration</w:t>
            </w:r>
          </w:p>
        </w:tc>
        <w:tc>
          <w:tcPr>
            <w:tcW w:type="dxa" w:w="47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Design downtime and reconciliation controls</w:t>
            </w:r>
          </w:p>
        </w:tc>
      </w:tr>
      <w:tr>
        <w:trPr>
          <w:cantSplit/>
        </w:trPr>
        <w:tc>
          <w:tcPr>
            <w:tcW w:type="dxa" w:w="144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Open question</w:t>
            </w:r>
          </w:p>
        </w:tc>
        <w:tc>
          <w:tcPr>
            <w:tcW w:type="dxa" w:w="4320"/>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Approved response, refresh and delay thresholds</w:t>
            </w:r>
          </w:p>
        </w:tc>
        <w:tc>
          <w:tcPr>
            <w:tcW w:type="dxa" w:w="4752"/>
            <w:shd w:fill="F6F9FB"/>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Sponsor and operational owners must baseline</w:t>
            </w:r>
          </w:p>
        </w:tc>
      </w:tr>
      <w:tr>
        <w:trPr>
          <w:cantSplit/>
        </w:trPr>
        <w:tc>
          <w:tcPr>
            <w:tcW w:type="dxa" w:w="144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Open question</w:t>
            </w:r>
          </w:p>
        </w:tc>
        <w:tc>
          <w:tcPr>
            <w:tcW w:type="dxa" w:w="4320"/>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System-of-record ownership for referrals, results and discharge</w:t>
            </w:r>
          </w:p>
        </w:tc>
        <w:tc>
          <w:tcPr>
            <w:tcW w:type="dxa" w:w="4752"/>
            <w:tcBorders>
              <w:top w:val="single" w:sz="4" w:color="D9D9D9"/>
              <w:left w:val="single" w:sz="4" w:color="D9D9D9"/>
              <w:bottom w:val="single" w:sz="4" w:color="D9D9D9"/>
              <w:right w:val="single" w:sz="4" w:color="D9D9D9"/>
              <w:insideH w:val="single" w:sz="4" w:color="D9D9D9"/>
              <w:insideV w:val="single" w:sz="4" w:color="D9D9D9"/>
            </w:tcBorders>
            <w:tcMar>
              <w:top w:w="60" w:type="dxa"/>
              <w:start w:w="90" w:type="dxa"/>
              <w:bottom w:w="60" w:type="dxa"/>
              <w:end w:w="90" w:type="dxa"/>
            </w:tcMar>
            <w:vAlign w:val="center"/>
          </w:tcPr>
          <w:p>
            <w:r>
              <w:rPr>
                <w:rFonts w:ascii="Segoe UI" w:hAnsi="Segoe UI" w:eastAsia="Segoe UI" w:cs="Segoe UI"/>
                <w:b w:val="0"/>
                <w:i w:val="0"/>
                <w:color w:val="000000"/>
                <w:sz w:val="16"/>
              </w:rPr>
              <w:t>Confirm in design workshops</w:t>
            </w:r>
          </w:p>
        </w:tc>
      </w:tr>
    </w:tbl>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Segoe UI" w:hAnsi="Segoe UI" w:eastAsia="Segoe UI" w:cs="Segoe UI"/>
        <w:b w:val="0"/>
        <w:i w:val="0"/>
        <w:color w:val="667085"/>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Segoe UI" w:hAnsi="Segoe UI" w:eastAsia="Segoe UI" w:cs="Segoe UI"/>
        <w:b w:val="0"/>
        <w:i w:val="0"/>
        <w:color w:val="667085"/>
        <w:sz w:val="16"/>
      </w:rPr>
      <w:t>HealthFirst Care  |  Business Analysis Capstone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59" w:lineRule="auto"/>
    </w:pPr>
    <w:rPr>
      <w:rFonts w:ascii="Segoe UI" w:hAnsi="Segoe UI" w:eastAsia="Segoe UI" w:cs="Segoe UI"/>
      <w:b w:val="0"/>
      <w:color w:val="2637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59" w:lineRule="auto"/>
      <w:outlineLvl w:val="0"/>
    </w:pPr>
    <w:rPr>
      <w:rFonts w:ascii="Segoe UI" w:hAnsi="Segoe UI" w:eastAsia="Segoe UI" w:cs="Segoe UI"/>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80" w:line="259" w:lineRule="auto"/>
      <w:outlineLvl w:val="1"/>
    </w:pPr>
    <w:rPr>
      <w:rFonts w:ascii="Segoe UI" w:hAnsi="Segoe UI" w:eastAsia="Segoe UI" w:cs="Segoe UI"/>
      <w:b/>
      <w:bCs/>
      <w:color w:val="17324D"/>
      <w:sz w:val="24"/>
      <w:szCs w:val="26"/>
    </w:rPr>
  </w:style>
  <w:style w:type="paragraph" w:styleId="Heading3">
    <w:name w:val="heading 3"/>
    <w:basedOn w:val="Normal"/>
    <w:next w:val="Normal"/>
    <w:link w:val="Heading3Char"/>
    <w:uiPriority w:val="9"/>
    <w:unhideWhenUsed/>
    <w:qFormat/>
    <w:rsid w:val="00FC693F"/>
    <w:pPr>
      <w:keepNext/>
      <w:keepLines/>
      <w:spacing w:before="140" w:after="60" w:line="259" w:lineRule="auto"/>
      <w:outlineLvl w:val="2"/>
    </w:pPr>
    <w:rPr>
      <w:rFonts w:ascii="Segoe UI" w:hAnsi="Segoe UI" w:eastAsia="Segoe UI" w:cs="Segoe UI"/>
      <w:b/>
      <w:bCs/>
      <w:color w:val="17324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59" w:lineRule="auto" w:before="0"/>
      <w:contextualSpacing/>
    </w:pPr>
    <w:rPr>
      <w:rFonts w:ascii="Segoe UI" w:hAnsi="Segoe UI" w:eastAsia="Segoe UI" w:cs="Segoe UI"/>
      <w:b/>
      <w:color w:val="17324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