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IBM Business Analyst Project Portfolio Index</w:t>
      </w:r>
    </w:p>
    <w:p>
      <w:r>
        <w:rPr>
          <w:rFonts w:ascii="Segoe UI" w:hAnsi="Segoe UI" w:eastAsia="Segoe UI" w:cs="Segoe UI"/>
          <w:b/>
          <w:i w:val="0"/>
          <w:color w:val="136F78"/>
          <w:sz w:val="21"/>
        </w:rPr>
        <w:t>HealthFirst Care capstone delivery and verification map</w:t>
      </w:r>
    </w:p>
    <w:p>
      <w:r>
        <w:rPr>
          <w:rFonts w:ascii="Segoe UI" w:hAnsi="Segoe UI" w:eastAsia="Segoe UI" w:cs="Segoe UI"/>
          <w:b w:val="0"/>
          <w:i w:val="0"/>
          <w:color w:val="667085"/>
          <w:sz w:val="18"/>
        </w:rPr>
        <w:t>Adwoa Boama Acheampong  |  IBM Business Analyst learning project</w:t>
      </w:r>
    </w:p>
    <w:p>
      <w:pPr>
        <w:pStyle w:val="Heading1"/>
      </w:pPr>
      <w:r>
        <w:t>Portfolio status</w:t>
      </w:r>
    </w:p>
    <w:p>
      <w:pPr>
        <w:keepLines w:val="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The nine labs are separately identifiable artifacts built around one simulated HealthFirst Care case. Local report, workbook and diagram requirements were checked against their source instructions; three platform/notation requirements remain partial. No hospital approval, pilot execution or measured benefit is claimed.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41"/>
        <w:gridCol w:w="3441"/>
        <w:gridCol w:w="3441"/>
        <w:gridCol w:w="3441"/>
      </w:tblGrid>
      <w:tr>
        <w:trPr>
          <w:tblHeader w:val="true"/>
        </w:trPr>
        <w:tc>
          <w:tcPr>
            <w:tcW w:type="dxa" w:w="2088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Lab</w:t>
            </w:r>
          </w:p>
        </w:tc>
        <w:tc>
          <w:tcPr>
            <w:tcW w:type="dxa" w:w="4608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Final artifacts</w:t>
            </w:r>
          </w:p>
        </w:tc>
        <w:tc>
          <w:tcPr>
            <w:tcW w:type="dxa" w:w="2088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Status</w:t>
            </w:r>
          </w:p>
        </w:tc>
        <w:tc>
          <w:tcPr>
            <w:tcW w:type="dxa" w:w="4320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Verification evidence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1 Requirements Traceability Matrix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/>
            <w:hyperlink r:id="rId11">
              <w:r>
                <w:rPr>
                  <w:rFonts w:ascii="Segoe UI" w:hAnsi="Segoe UI"/>
                  <w:sz w:val="16"/>
                  <w:color w:val="136F78"/>
                  <w:u w:val="single"/>
                </w:rPr>
                <w:t>RTM workbook</w:t>
              </w:r>
            </w:hyperlink>
            <w:r>
              <w:rPr>
                <w:rFonts w:ascii="Segoe UI" w:hAnsi="Segoe UI"/>
                <w:sz w:val="16"/>
              </w:rPr>
              <w:t xml:space="preserve"> · </w:t>
            </w:r>
            <w:hyperlink r:id="rId12">
              <w:r>
                <w:rPr>
                  <w:rFonts w:ascii="Segoe UI" w:hAnsi="Segoe UI"/>
                  <w:sz w:val="16"/>
                  <w:color w:val="136F78"/>
                  <w:u w:val="single"/>
                </w:rPr>
                <w:t>Findings PDF</w:t>
              </w:r>
            </w:hyperlink>
            <w:r>
              <w:rPr>
                <w:rFonts w:ascii="Segoe UI" w:hAnsi="Segoe UI"/>
                <w:sz w:val="16"/>
              </w:rPr>
              <w:t xml:space="preserve"> · </w:t>
            </w:r>
            <w:hyperlink r:id="rId13">
              <w:r>
                <w:rPr>
                  <w:rFonts w:ascii="Segoe UI" w:hAnsi="Segoe UI"/>
                  <w:sz w:val="16"/>
                  <w:color w:val="136F78"/>
                  <w:u w:val="single"/>
                </w:rPr>
                <w:t>BRD PDF</w:t>
              </w:r>
            </w:hyperlink>
          </w:p>
        </w:tc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Local complete; review open</w:t>
            </w:r>
          </w:p>
        </w:tc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18 distinct IDs and UAT plans; exact data-source findings, denominators and inference limits</w:t>
            </w:r>
          </w:p>
        </w:tc>
      </w:tr>
      <w:tr>
        <w:trPr>
          <w:cantSplit/>
        </w:trPr>
        <w:tc>
          <w:tcPr>
            <w:tcW w:type="dxa" w:w="208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2 Stakeholder Analysis</w:t>
            </w:r>
          </w:p>
        </w:tc>
        <w:tc>
          <w:tcPr>
            <w:tcW w:type="dxa" w:w="460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/>
            <w:hyperlink r:id="rId14">
              <w:r>
                <w:rPr>
                  <w:rFonts w:ascii="Segoe UI" w:hAnsi="Segoe UI"/>
                  <w:sz w:val="16"/>
                  <w:color w:val="136F78"/>
                  <w:u w:val="single"/>
                </w:rPr>
                <w:t>Stakeholder matrix</w:t>
              </w:r>
            </w:hyperlink>
            <w:r>
              <w:rPr>
                <w:rFonts w:ascii="Segoe UI" w:hAnsi="Segoe UI"/>
                <w:sz w:val="16"/>
              </w:rPr>
              <w:t xml:space="preserve"> · </w:t>
            </w:r>
            <w:hyperlink r:id="rId15">
              <w:r>
                <w:rPr>
                  <w:rFonts w:ascii="Segoe UI" w:hAnsi="Segoe UI"/>
                  <w:sz w:val="16"/>
                  <w:color w:val="136F78"/>
                  <w:u w:val="single"/>
                </w:rPr>
                <w:t>Plan PDF</w:t>
              </w:r>
            </w:hyperlink>
            <w:r>
              <w:rPr>
                <w:rFonts w:ascii="Segoe UI" w:hAnsi="Segoe UI"/>
                <w:sz w:val="16"/>
              </w:rPr>
              <w:t xml:space="preserve"> · </w:t>
            </w:r>
            <w:hyperlink r:id="rId16">
              <w:r>
                <w:rPr>
                  <w:rFonts w:ascii="Segoe UI" w:hAnsi="Segoe UI"/>
                  <w:sz w:val="16"/>
                  <w:color w:val="136F78"/>
                  <w:u w:val="single"/>
                </w:rPr>
                <w:t>Matrix SVG</w:t>
              </w:r>
            </w:hyperlink>
          </w:p>
        </w:tc>
        <w:tc>
          <w:tcPr>
            <w:tcW w:type="dxa" w:w="208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Local complete; review open</w:t>
            </w:r>
          </w:p>
        </w:tc>
        <w:tc>
          <w:tcPr>
            <w:tcW w:type="dxa" w:w="432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Ten supplied profiles, one inferred governance role, source appendix and engagement plan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3 Scope Plan and WBS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/>
            <w:hyperlink r:id="rId17">
              <w:r>
                <w:rPr>
                  <w:rFonts w:ascii="Segoe UI" w:hAnsi="Segoe UI"/>
                  <w:sz w:val="16"/>
                  <w:color w:val="136F78"/>
                  <w:u w:val="single"/>
                </w:rPr>
                <w:t>WBS workbook</w:t>
              </w:r>
            </w:hyperlink>
            <w:r>
              <w:rPr>
                <w:rFonts w:ascii="Segoe UI" w:hAnsi="Segoe UI"/>
                <w:sz w:val="16"/>
              </w:rPr>
              <w:t xml:space="preserve"> · </w:t>
            </w:r>
            <w:hyperlink r:id="rId18">
              <w:r>
                <w:rPr>
                  <w:rFonts w:ascii="Segoe UI" w:hAnsi="Segoe UI"/>
                  <w:sz w:val="16"/>
                  <w:color w:val="136F78"/>
                  <w:u w:val="single"/>
                </w:rPr>
                <w:t>Scope PDF</w:t>
              </w:r>
            </w:hyperlink>
            <w:r>
              <w:rPr>
                <w:rFonts w:ascii="Segoe UI" w:hAnsi="Segoe UI"/>
                <w:sz w:val="16"/>
              </w:rPr>
              <w:t xml:space="preserve"> · </w:t>
            </w:r>
            <w:hyperlink r:id="rId19">
              <w:r>
                <w:rPr>
                  <w:rFonts w:ascii="Segoe UI" w:hAnsi="Segoe UI"/>
                  <w:sz w:val="16"/>
                  <w:color w:val="136F78"/>
                  <w:u w:val="single"/>
                </w:rPr>
                <w:t>WBS SVG</w:t>
              </w:r>
            </w:hyperlink>
          </w:p>
        </w:tc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Local complete; review open</w:t>
            </w:r>
          </w:p>
        </w:tc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Scope/change control; pilot root, seven branches and detailed work packages</w:t>
            </w:r>
          </w:p>
        </w:tc>
      </w:tr>
      <w:tr>
        <w:trPr>
          <w:cantSplit/>
        </w:trPr>
        <w:tc>
          <w:tcPr>
            <w:tcW w:type="dxa" w:w="208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4 As Is and To Be Models</w:t>
            </w:r>
          </w:p>
        </w:tc>
        <w:tc>
          <w:tcPr>
            <w:tcW w:type="dxa" w:w="460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/>
            <w:hyperlink r:id="rId20">
              <w:r>
                <w:rPr>
                  <w:rFonts w:ascii="Segoe UI" w:hAnsi="Segoe UI"/>
                  <w:sz w:val="16"/>
                  <w:color w:val="136F78"/>
                  <w:u w:val="single"/>
                </w:rPr>
                <w:t>Process PDF</w:t>
              </w:r>
            </w:hyperlink>
            <w:r>
              <w:rPr>
                <w:rFonts w:ascii="Segoe UI" w:hAnsi="Segoe UI"/>
                <w:sz w:val="16"/>
              </w:rPr>
              <w:t xml:space="preserve"> · </w:t>
            </w:r>
            <w:hyperlink r:id="rId21">
              <w:r>
                <w:rPr>
                  <w:rFonts w:ascii="Segoe UI" w:hAnsi="Segoe UI"/>
                  <w:sz w:val="16"/>
                  <w:color w:val="136F78"/>
                  <w:u w:val="single"/>
                </w:rPr>
                <w:t>As-Is SVG</w:t>
              </w:r>
            </w:hyperlink>
            <w:r>
              <w:rPr>
                <w:rFonts w:ascii="Segoe UI" w:hAnsi="Segoe UI"/>
                <w:sz w:val="16"/>
              </w:rPr>
              <w:t xml:space="preserve"> · </w:t>
            </w:r>
            <w:hyperlink r:id="rId22">
              <w:r>
                <w:rPr>
                  <w:rFonts w:ascii="Segoe UI" w:hAnsi="Segoe UI"/>
                  <w:sz w:val="16"/>
                  <w:color w:val="136F78"/>
                  <w:u w:val="single"/>
                </w:rPr>
                <w:t>To-Be SVG</w:t>
              </w:r>
            </w:hyperlink>
          </w:p>
        </w:tc>
        <w:tc>
          <w:tcPr>
            <w:tcW w:type="dxa" w:w="208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Partial: tool requirement</w:t>
            </w:r>
          </w:p>
        </w:tc>
        <w:tc>
          <w:tcPr>
            <w:tcW w:type="dxa" w:w="432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Current/proposed flows exist; Lucidchart/Visio was not used as the lab requests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5 Process Maps and Swimlanes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/>
            <w:hyperlink r:id="rId23">
              <w:r>
                <w:rPr>
                  <w:rFonts w:ascii="Segoe UI" w:hAnsi="Segoe UI"/>
                  <w:sz w:val="16"/>
                  <w:color w:val="136F78"/>
                  <w:u w:val="single"/>
                </w:rPr>
                <w:t>Swimlane PDF</w:t>
              </w:r>
            </w:hyperlink>
            <w:r>
              <w:rPr>
                <w:rFonts w:ascii="Segoe UI" w:hAnsi="Segoe UI"/>
                <w:sz w:val="16"/>
              </w:rPr>
              <w:t xml:space="preserve"> · </w:t>
            </w:r>
            <w:hyperlink r:id="rId24">
              <w:r>
                <w:rPr>
                  <w:rFonts w:ascii="Segoe UI" w:hAnsi="Segoe UI"/>
                  <w:sz w:val="16"/>
                  <w:color w:val="136F78"/>
                  <w:u w:val="single"/>
                </w:rPr>
                <w:t>Appointment SVG</w:t>
              </w:r>
            </w:hyperlink>
            <w:r>
              <w:rPr>
                <w:rFonts w:ascii="Segoe UI" w:hAnsi="Segoe UI"/>
                <w:sz w:val="16"/>
              </w:rPr>
              <w:t xml:space="preserve"> · </w:t>
            </w:r>
            <w:hyperlink r:id="rId25">
              <w:r>
                <w:rPr>
                  <w:rFonts w:ascii="Segoe UI" w:hAnsi="Segoe UI"/>
                  <w:sz w:val="16"/>
                  <w:color w:val="136F78"/>
                  <w:u w:val="single"/>
                </w:rPr>
                <w:t>Discharge SVG</w:t>
              </w:r>
            </w:hyperlink>
          </w:p>
        </w:tc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Partial: BPMN notation</w:t>
            </w:r>
          </w:p>
        </w:tc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Role lanes, decisions and rework exist; BPMN conformance has not been validated</w:t>
            </w:r>
          </w:p>
        </w:tc>
      </w:tr>
      <w:tr>
        <w:trPr>
          <w:cantSplit/>
        </w:trPr>
        <w:tc>
          <w:tcPr>
            <w:tcW w:type="dxa" w:w="208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6 Data Cleaning and Analysis</w:t>
            </w:r>
          </w:p>
        </w:tc>
        <w:tc>
          <w:tcPr>
            <w:tcW w:type="dxa" w:w="460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/>
            <w:hyperlink r:id="rId26">
              <w:r>
                <w:rPr>
                  <w:rFonts w:ascii="Segoe UI" w:hAnsi="Segoe UI"/>
                  <w:sz w:val="16"/>
                  <w:color w:val="136F78"/>
                  <w:u w:val="single"/>
                </w:rPr>
                <w:t>Analysis workbook</w:t>
              </w:r>
            </w:hyperlink>
            <w:r>
              <w:rPr>
                <w:rFonts w:ascii="Segoe UI" w:hAnsi="Segoe UI"/>
                <w:sz w:val="16"/>
              </w:rPr>
              <w:t xml:space="preserve"> · </w:t>
            </w:r>
            <w:hyperlink r:id="rId27">
              <w:r>
                <w:rPr>
                  <w:rFonts w:ascii="Segoe UI" w:hAnsi="Segoe UI"/>
                  <w:sz w:val="16"/>
                  <w:color w:val="136F78"/>
                  <w:u w:val="single"/>
                </w:rPr>
                <w:t>Analysis PDF</w:t>
              </w:r>
            </w:hyperlink>
          </w:p>
        </w:tc>
        <w:tc>
          <w:tcPr>
            <w:tcW w:type="dxa" w:w="208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Local complete; review open</w:t>
            </w:r>
          </w:p>
        </w:tc>
        <w:tc>
          <w:tcPr>
            <w:tcW w:type="dxa" w:w="432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198 substantive feedback rows; peak-hour contrast; four native pivots, six slicers and charts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7 Dashboard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/>
            <w:hyperlink r:id="rId28">
              <w:r>
                <w:rPr>
                  <w:rFonts w:ascii="Segoe UI" w:hAnsi="Segoe UI"/>
                  <w:sz w:val="16"/>
                  <w:color w:val="136F78"/>
                  <w:u w:val="single"/>
                </w:rPr>
                <w:t>Dashboard workbook</w:t>
              </w:r>
            </w:hyperlink>
            <w:r>
              <w:rPr>
                <w:rFonts w:ascii="Segoe UI" w:hAnsi="Segoe UI"/>
                <w:sz w:val="16"/>
              </w:rPr>
              <w:t xml:space="preserve"> · </w:t>
            </w:r>
            <w:hyperlink r:id="rId29">
              <w:r>
                <w:rPr>
                  <w:rFonts w:ascii="Segoe UI" w:hAnsi="Segoe UI"/>
                  <w:sz w:val="16"/>
                  <w:color w:val="136F78"/>
                  <w:u w:val="single"/>
                </w:rPr>
                <w:t>Guide PDF</w:t>
              </w:r>
            </w:hyperlink>
            <w:r>
              <w:rPr>
                <w:rFonts w:ascii="Segoe UI" w:hAnsi="Segoe UI"/>
                <w:sz w:val="16"/>
              </w:rPr>
              <w:t xml:space="preserve"> · </w:t>
            </w:r>
            <w:hyperlink r:id="rId30">
              <w:r>
                <w:rPr>
                  <w:rFonts w:ascii="Segoe UI" w:hAnsi="Segoe UI"/>
                  <w:sz w:val="16"/>
                  <w:color w:val="136F78"/>
                  <w:u w:val="single"/>
                </w:rPr>
                <w:t>Dashboard PDF</w:t>
              </w:r>
            </w:hyperlink>
          </w:p>
        </w:tc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Partial: platform requirement</w:t>
            </w:r>
          </w:p>
        </w:tc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Excel view and pivot filters tested; Cognos/Looker exercise not completed</w:t>
            </w:r>
          </w:p>
        </w:tc>
      </w:tr>
      <w:tr>
        <w:trPr>
          <w:cantSplit/>
        </w:trPr>
        <w:tc>
          <w:tcPr>
            <w:tcW w:type="dxa" w:w="208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8 Risk Register and SWOT</w:t>
            </w:r>
          </w:p>
        </w:tc>
        <w:tc>
          <w:tcPr>
            <w:tcW w:type="dxa" w:w="460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/>
            <w:hyperlink r:id="rId31">
              <w:r>
                <w:rPr>
                  <w:rFonts w:ascii="Segoe UI" w:hAnsi="Segoe UI"/>
                  <w:sz w:val="16"/>
                  <w:color w:val="136F78"/>
                  <w:u w:val="single"/>
                </w:rPr>
                <w:t>Risk workbook</w:t>
              </w:r>
            </w:hyperlink>
            <w:r>
              <w:rPr>
                <w:rFonts w:ascii="Segoe UI" w:hAnsi="Segoe UI"/>
                <w:sz w:val="16"/>
              </w:rPr>
              <w:t xml:space="preserve"> · </w:t>
            </w:r>
            <w:hyperlink r:id="rId32">
              <w:r>
                <w:rPr>
                  <w:rFonts w:ascii="Segoe UI" w:hAnsi="Segoe UI"/>
                  <w:sz w:val="16"/>
                  <w:color w:val="136F78"/>
                  <w:u w:val="single"/>
                </w:rPr>
                <w:t>Risk PDF</w:t>
              </w:r>
            </w:hyperlink>
          </w:p>
        </w:tc>
        <w:tc>
          <w:tcPr>
            <w:tcW w:type="dxa" w:w="208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Local complete; review open</w:t>
            </w:r>
          </w:p>
        </w:tc>
        <w:tc>
          <w:tcPr>
            <w:tcW w:type="dxa" w:w="432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Ten legible risk IDs, 3×3 scores, controls, triggers and SWOT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9 Risk Matrix and Mitigation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/>
            <w:hyperlink r:id="rId33">
              <w:r>
                <w:rPr>
                  <w:rFonts w:ascii="Segoe UI" w:hAnsi="Segoe UI"/>
                  <w:sz w:val="16"/>
                  <w:color w:val="136F78"/>
                  <w:u w:val="single"/>
                </w:rPr>
                <w:t>Mitigation workbook</w:t>
              </w:r>
            </w:hyperlink>
            <w:r>
              <w:rPr>
                <w:rFonts w:ascii="Segoe UI" w:hAnsi="Segoe UI"/>
                <w:sz w:val="16"/>
              </w:rPr>
              <w:t xml:space="preserve"> · </w:t>
            </w:r>
            <w:hyperlink r:id="rId34">
              <w:r>
                <w:rPr>
                  <w:rFonts w:ascii="Segoe UI" w:hAnsi="Segoe UI"/>
                  <w:sz w:val="16"/>
                  <w:color w:val="136F78"/>
                  <w:u w:val="single"/>
                </w:rPr>
                <w:t>Mitigation PDF</w:t>
              </w:r>
            </w:hyperlink>
          </w:p>
        </w:tc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Local complete; review open</w:t>
            </w:r>
          </w:p>
        </w:tc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Dynamic 3×3 matrix, owners, prevention, triggers and contingency plans</w:t>
            </w:r>
          </w:p>
        </w:tc>
      </w:tr>
    </w:tbl>
    <w:p>
      <w:pPr>
        <w:pStyle w:val="Heading1"/>
      </w:pPr>
      <w:r>
        <w:t>Source and tool record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83"/>
        <w:gridCol w:w="6883"/>
      </w:tblGrid>
      <w:tr>
        <w:trPr>
          <w:tblHeader w:val="true"/>
        </w:trPr>
        <w:tc>
          <w:tcPr>
            <w:tcW w:type="dxa" w:w="3024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7344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Use</w:t>
            </w:r>
          </w:p>
        </w:tc>
      </w:tr>
      <w:tr>
        <w:trPr>
          <w:cantSplit/>
        </w:trP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Skills Network instruction files</w:t>
            </w:r>
          </w:p>
        </w:tc>
        <w:tc>
          <w:tcPr>
            <w:tcW w:type="dxa" w:w="73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Primary requirements for labs 1–6, 8 and 9</w:t>
            </w:r>
          </w:p>
        </w:tc>
      </w:tr>
      <w:tr>
        <w:trPr>
          <w:cantSplit/>
        </w:trPr>
        <w:tc>
          <w:tcPr>
            <w:tcW w:type="dxa" w:w="3024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Coursera dashboard page</w:t>
            </w:r>
          </w:p>
        </w:tc>
        <w:tc>
          <w:tcPr>
            <w:tcW w:type="dxa" w:w="7344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Platform-specific exercise could not be completed in the authenticated service</w:t>
            </w:r>
          </w:p>
        </w:tc>
      </w:tr>
      <w:tr>
        <w:trPr>
          <w:cantSplit/>
        </w:trP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Skills Network RTM file</w:t>
            </w:r>
          </w:p>
        </w:tc>
        <w:tc>
          <w:tcPr>
            <w:tcW w:type="dxa" w:w="73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Exact supplied URL retrieved and its requirements reviewed</w:t>
            </w:r>
          </w:p>
        </w:tc>
      </w:tr>
      <w:tr>
        <w:trPr>
          <w:cantSplit/>
        </w:trPr>
        <w:tc>
          <w:tcPr>
            <w:tcW w:type="dxa" w:w="3024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Microsoft Excel 16.0</w:t>
            </w:r>
          </w:p>
        </w:tc>
        <w:tc>
          <w:tcPr>
            <w:tcW w:type="dxa" w:w="7344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Workbook recalculation, native PivotTables, tables and slicers</w:t>
            </w:r>
          </w:p>
        </w:tc>
      </w:tr>
      <w:tr>
        <w:trPr>
          <w:cantSplit/>
        </w:trP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Python pandas and NumPy</w:t>
            </w:r>
          </w:p>
        </w:tc>
        <w:tc>
          <w:tcPr>
            <w:tcW w:type="dxa" w:w="73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Independent data cleaning and metric reconciliation</w:t>
            </w:r>
          </w:p>
        </w:tc>
      </w:tr>
      <w:tr>
        <w:trPr>
          <w:cantSplit/>
        </w:trPr>
        <w:tc>
          <w:tcPr>
            <w:tcW w:type="dxa" w:w="3024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python-docx and Microsoft Word 16.0</w:t>
            </w:r>
          </w:p>
        </w:tc>
        <w:tc>
          <w:tcPr>
            <w:tcW w:type="dxa" w:w="7344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Editable reports and PDF exports</w:t>
            </w:r>
          </w:p>
        </w:tc>
      </w:tr>
      <w:tr>
        <w:trPr>
          <w:cantSplit/>
        </w:trP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Pillow, SVG and PyMuPDF</w:t>
            </w:r>
          </w:p>
        </w:tc>
        <w:tc>
          <w:tcPr>
            <w:tcW w:type="dxa" w:w="73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Rendered and editable local diagrams and charts</w:t>
            </w:r>
          </w:p>
        </w:tc>
      </w:tr>
      <w:tr>
        <w:trPr>
          <w:cantSplit/>
        </w:trPr>
        <w:tc>
          <w:tcPr>
            <w:tcW w:type="dxa" w:w="3024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Lucidchart, Visio, Cognos, Looker</w:t>
            </w:r>
          </w:p>
        </w:tc>
        <w:tc>
          <w:tcPr>
            <w:tcW w:type="dxa" w:w="7344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Not used and not claimed</w:t>
            </w:r>
          </w:p>
        </w:tc>
      </w:tr>
    </w:tbl>
    <w:p>
      <w:pPr>
        <w:pStyle w:val="Heading1"/>
      </w:pPr>
      <w:r>
        <w:t>Known limitations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Course data and profiles are simulated; no hospital approval, deployment or measured benefit is claimed.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Performance targets, benefit thresholds and UAT pass status remain open.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The Cognos/Looker platform-specific dashboard requirement is not claimed as complete.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The project uses department-level resource comparison and patient-level appointment-feedback linkage; it does not infer patient-level resource causation.</w:t>
      </w:r>
    </w:p>
    <w:p>
      <w:pPr>
        <w:pStyle w:val="Heading1"/>
      </w:pPr>
      <w:r>
        <w:t>Legacy file notice</w:t>
      </w:r>
    </w:p>
    <w:p>
      <w:pPr>
        <w:keepLines w:val="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The earlier Adwoa_Acheampong_IBM_Business_Analysis_Workbook.xlsx is a superseded combined draft. It is preserved for provenance but must not be used for final counts, charts, risk priority or portfolio claims. Use the linked lab-specific files in this index instead.</w:t>
      </w: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Segoe UI" w:hAnsi="Segoe UI" w:eastAsia="Segoe UI" w:cs="Segoe UI"/>
        <w:b w:val="0"/>
        <w:i w:val="0"/>
        <w:color w:val="667085"/>
        <w:sz w:val="16"/>
      </w:rPr>
      <w:t xml:space="preserve">Page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Segoe UI" w:hAnsi="Segoe UI" w:eastAsia="Segoe UI" w:cs="Segoe UI"/>
        <w:b w:val="0"/>
        <w:i w:val="0"/>
        <w:color w:val="667085"/>
        <w:sz w:val="16"/>
      </w:rPr>
      <w:t>HealthFirst Care  |  Business Analysis Capstone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59" w:lineRule="auto"/>
    </w:pPr>
    <w:rPr>
      <w:rFonts w:ascii="Segoe UI" w:hAnsi="Segoe UI" w:eastAsia="Segoe UI" w:cs="Segoe UI"/>
      <w:b w:val="0"/>
      <w:color w:val="26374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259" w:lineRule="auto"/>
      <w:outlineLvl w:val="0"/>
    </w:pPr>
    <w:rPr>
      <w:rFonts w:ascii="Segoe UI" w:hAnsi="Segoe UI" w:eastAsia="Segoe UI" w:cs="Segoe UI"/>
      <w:b/>
      <w:bCs/>
      <w:color w:val="17324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 w:line="259" w:lineRule="auto"/>
      <w:outlineLvl w:val="1"/>
    </w:pPr>
    <w:rPr>
      <w:rFonts w:ascii="Segoe UI" w:hAnsi="Segoe UI" w:eastAsia="Segoe UI" w:cs="Segoe UI"/>
      <w:b/>
      <w:bCs/>
      <w:color w:val="17324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 w:line="259" w:lineRule="auto"/>
      <w:outlineLvl w:val="2"/>
    </w:pPr>
    <w:rPr>
      <w:rFonts w:ascii="Segoe UI" w:hAnsi="Segoe UI" w:eastAsia="Segoe UI" w:cs="Segoe UI"/>
      <w:b/>
      <w:bCs/>
      <w:color w:val="17324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59" w:lineRule="auto" w:before="0"/>
      <w:contextualSpacing/>
    </w:pPr>
    <w:rPr>
      <w:rFonts w:ascii="Segoe UI" w:hAnsi="Segoe UI" w:eastAsia="Segoe UI" w:cs="Segoe UI"/>
      <w:b/>
      <w:color w:val="17324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Capstone_Project_M01L01_Requirements_Traceability_Matrix.xlsx" TargetMode="External"/><Relationship Id="rId12" Type="http://schemas.openxmlformats.org/officeDocument/2006/relationships/hyperlink" Target="Capstone_Project_M01L01_RTM_Findings.pdf" TargetMode="External"/><Relationship Id="rId13" Type="http://schemas.openxmlformats.org/officeDocument/2006/relationships/hyperlink" Target="Capstone_Project_M01L01_HealthFirst_BRD.pdf" TargetMode="External"/><Relationship Id="rId14" Type="http://schemas.openxmlformats.org/officeDocument/2006/relationships/hyperlink" Target="Capstone_Project_M02L01_Stakeholder_Matrix.xlsx" TargetMode="External"/><Relationship Id="rId15" Type="http://schemas.openxmlformats.org/officeDocument/2006/relationships/hyperlink" Target="Capstone_Project_M02L01_Stakeholder_Analysis.pdf" TargetMode="External"/><Relationship Id="rId16" Type="http://schemas.openxmlformats.org/officeDocument/2006/relationships/hyperlink" Target="HealthFirst_Editable_Diagrams/stakeholder_influence_interest_matrix.svg" TargetMode="External"/><Relationship Id="rId17" Type="http://schemas.openxmlformats.org/officeDocument/2006/relationships/hyperlink" Target="Capstone_Project_M02L02_Work_Breakdown_Structure.xlsx" TargetMode="External"/><Relationship Id="rId18" Type="http://schemas.openxmlformats.org/officeDocument/2006/relationships/hyperlink" Target="Capstone_Project_M02L02_Scope_Management.pdf" TargetMode="External"/><Relationship Id="rId19" Type="http://schemas.openxmlformats.org/officeDocument/2006/relationships/hyperlink" Target="HealthFirst_Editable_Diagrams/wbs_hierarchy.svg" TargetMode="External"/><Relationship Id="rId20" Type="http://schemas.openxmlformats.org/officeDocument/2006/relationships/hyperlink" Target="Capstone_Project_M03L01_Process_Model.pdf" TargetMode="External"/><Relationship Id="rId21" Type="http://schemas.openxmlformats.org/officeDocument/2006/relationships/hyperlink" Target="HealthFirst_Editable_Diagrams/as_is_appointment.svg" TargetMode="External"/><Relationship Id="rId22" Type="http://schemas.openxmlformats.org/officeDocument/2006/relationships/hyperlink" Target="HealthFirst_Editable_Diagrams/to_be_appointment.svg" TargetMode="External"/><Relationship Id="rId23" Type="http://schemas.openxmlformats.org/officeDocument/2006/relationships/hyperlink" Target="Capstone_Project_M03L02_Swimlane_Diagrams.pdf" TargetMode="External"/><Relationship Id="rId24" Type="http://schemas.openxmlformats.org/officeDocument/2006/relationships/hyperlink" Target="HealthFirst_Editable_Diagrams/swimlane_appointment.svg" TargetMode="External"/><Relationship Id="rId25" Type="http://schemas.openxmlformats.org/officeDocument/2006/relationships/hyperlink" Target="HealthFirst_Editable_Diagrams/swimlane_discharge.svg" TargetMode="External"/><Relationship Id="rId26" Type="http://schemas.openxmlformats.org/officeDocument/2006/relationships/hyperlink" Target="Capstone_Project_M04L01_Data_Cleaning_Manipulation_Analysis.xlsx" TargetMode="External"/><Relationship Id="rId27" Type="http://schemas.openxmlformats.org/officeDocument/2006/relationships/hyperlink" Target="Capstone_Project_M04L01_Data_Analysis.pdf" TargetMode="External"/><Relationship Id="rId28" Type="http://schemas.openxmlformats.org/officeDocument/2006/relationships/hyperlink" Target="Capstone_Project_M04L02_HealthFirst_Dashboard.xlsx" TargetMode="External"/><Relationship Id="rId29" Type="http://schemas.openxmlformats.org/officeDocument/2006/relationships/hyperlink" Target="Capstone_Project_M04L02_Dashboard_Evidence.pdf" TargetMode="External"/><Relationship Id="rId30" Type="http://schemas.openxmlformats.org/officeDocument/2006/relationships/hyperlink" Target="HealthFirst_Excel_Dashboard.pdf" TargetMode="External"/><Relationship Id="rId31" Type="http://schemas.openxmlformats.org/officeDocument/2006/relationships/hyperlink" Target="Capstone_Project_M05L01_Risk_Register_SWOT.xlsx" TargetMode="External"/><Relationship Id="rId32" Type="http://schemas.openxmlformats.org/officeDocument/2006/relationships/hyperlink" Target="Capstone_Project_M05L01_Risk_Register_SWOT.pdf" TargetMode="External"/><Relationship Id="rId33" Type="http://schemas.openxmlformats.org/officeDocument/2006/relationships/hyperlink" Target="Capstone_Project_M05L02_Risk_Matrix_Mitigation.xlsx" TargetMode="External"/><Relationship Id="rId34" Type="http://schemas.openxmlformats.org/officeDocument/2006/relationships/hyperlink" Target="Capstone_Project_M05L02_Risk_Matrix_Mitigatio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